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F009F" w14:textId="4A1B8DB3" w:rsidR="00A76F2E" w:rsidRPr="009A297E" w:rsidRDefault="00ED0722" w:rsidP="00C540E6">
      <w:pPr>
        <w:jc w:val="both"/>
        <w:rPr>
          <w:sz w:val="18"/>
        </w:rPr>
      </w:pPr>
      <w:r>
        <w:rPr>
          <w:sz w:val="18"/>
        </w:rPr>
        <w:t xml:space="preserve">Datum: </w:t>
      </w:r>
      <w:r w:rsidR="00B83A5F">
        <w:rPr>
          <w:sz w:val="18"/>
        </w:rPr>
        <w:t>2</w:t>
      </w:r>
      <w:r w:rsidR="00DA5A08">
        <w:rPr>
          <w:sz w:val="18"/>
        </w:rPr>
        <w:t>2</w:t>
      </w:r>
      <w:r>
        <w:rPr>
          <w:sz w:val="18"/>
        </w:rPr>
        <w:t xml:space="preserve">. </w:t>
      </w:r>
      <w:r w:rsidR="00A108AF">
        <w:rPr>
          <w:sz w:val="18"/>
        </w:rPr>
        <w:t>4</w:t>
      </w:r>
      <w:r>
        <w:rPr>
          <w:sz w:val="18"/>
        </w:rPr>
        <w:t>. 202</w:t>
      </w:r>
      <w:r w:rsidR="00C540E6">
        <w:rPr>
          <w:sz w:val="18"/>
        </w:rPr>
        <w:t>6</w:t>
      </w:r>
    </w:p>
    <w:p w14:paraId="64E7CC2B" w14:textId="77777777" w:rsidR="009A297E" w:rsidRPr="00B94975" w:rsidRDefault="009A297E" w:rsidP="00C540E6">
      <w:pPr>
        <w:jc w:val="both"/>
      </w:pPr>
    </w:p>
    <w:p w14:paraId="628F31CC" w14:textId="571A050B" w:rsidR="00893A3B" w:rsidRPr="00D7218C" w:rsidRDefault="00893A3B" w:rsidP="00893A3B">
      <w:pPr>
        <w:spacing w:after="160"/>
        <w:jc w:val="both"/>
        <w:rPr>
          <w:b/>
          <w:color w:val="3B3838" w:themeColor="background2" w:themeShade="40"/>
          <w:sz w:val="28"/>
          <w:szCs w:val="28"/>
        </w:rPr>
      </w:pPr>
      <w:r w:rsidRPr="00471086">
        <w:rPr>
          <w:b/>
          <w:color w:val="3B3838" w:themeColor="background2" w:themeShade="40"/>
          <w:sz w:val="28"/>
          <w:szCs w:val="28"/>
        </w:rPr>
        <w:t>Cena nových bytů v Brně poprvé překročila 150 tisíc za metr čtvereční. Nabídka je nejvyšší za posledních několik let</w:t>
      </w:r>
    </w:p>
    <w:p w14:paraId="6C13840F" w14:textId="18AEA6BC" w:rsidR="00D7218C" w:rsidRPr="009F1457" w:rsidRDefault="00893A3B" w:rsidP="00893A3B">
      <w:pPr>
        <w:spacing w:after="160"/>
        <w:jc w:val="both"/>
        <w:rPr>
          <w:b/>
          <w:color w:val="3B3838" w:themeColor="background2" w:themeShade="40"/>
          <w:sz w:val="20"/>
          <w:szCs w:val="20"/>
        </w:rPr>
      </w:pPr>
      <w:r w:rsidRPr="00471086">
        <w:rPr>
          <w:b/>
          <w:color w:val="3B3838" w:themeColor="background2" w:themeShade="40"/>
          <w:sz w:val="20"/>
          <w:szCs w:val="20"/>
        </w:rPr>
        <w:t xml:space="preserve">Brněnský trh s novými byty vstoupil do roku 2026 s pokračující silnou poptávkou. V prvním čtvrtletí se prodalo celkem 377 novostaveb, </w:t>
      </w:r>
      <w:r w:rsidR="000778D3" w:rsidRPr="00376FD3">
        <w:rPr>
          <w:b/>
          <w:color w:val="3B3838" w:themeColor="background2" w:themeShade="40"/>
          <w:sz w:val="20"/>
          <w:szCs w:val="20"/>
        </w:rPr>
        <w:t>meziročně méně než v rekordním začátku roku 2025</w:t>
      </w:r>
      <w:r w:rsidRPr="00471086">
        <w:rPr>
          <w:b/>
          <w:color w:val="3B3838" w:themeColor="background2" w:themeShade="40"/>
          <w:sz w:val="20"/>
          <w:szCs w:val="20"/>
        </w:rPr>
        <w:t xml:space="preserve">, ale více než v kterémkoli z předchozích tří čtvrtletí. Průměrná nabídková cena </w:t>
      </w:r>
      <w:r w:rsidRPr="00AE133E">
        <w:rPr>
          <w:b/>
          <w:color w:val="3B3838" w:themeColor="background2" w:themeShade="40"/>
          <w:sz w:val="20"/>
          <w:szCs w:val="20"/>
        </w:rPr>
        <w:t>meziročně vzrostla o více než 1</w:t>
      </w:r>
      <w:r w:rsidR="00DA5A08">
        <w:rPr>
          <w:b/>
          <w:color w:val="3B3838" w:themeColor="background2" w:themeShade="40"/>
          <w:sz w:val="20"/>
          <w:szCs w:val="20"/>
        </w:rPr>
        <w:t>4</w:t>
      </w:r>
      <w:r w:rsidRPr="00AE133E">
        <w:rPr>
          <w:b/>
          <w:color w:val="3B3838" w:themeColor="background2" w:themeShade="40"/>
          <w:sz w:val="20"/>
          <w:szCs w:val="20"/>
        </w:rPr>
        <w:t xml:space="preserve"> procent a poprvé v historii brněnského trhu překročila hranici 150 tisíc korun za metr čtvereční. Zároveň se výrazně rozšířila nabídka volných bytů, která na konci března dosáhla téměř 1 </w:t>
      </w:r>
      <w:r w:rsidR="0035033A" w:rsidRPr="00AE133E">
        <w:rPr>
          <w:b/>
          <w:color w:val="3B3838" w:themeColor="background2" w:themeShade="40"/>
          <w:sz w:val="20"/>
          <w:szCs w:val="20"/>
        </w:rPr>
        <w:t>887</w:t>
      </w:r>
      <w:r w:rsidRPr="00AE133E">
        <w:rPr>
          <w:b/>
          <w:color w:val="3B3838" w:themeColor="background2" w:themeShade="40"/>
          <w:sz w:val="20"/>
          <w:szCs w:val="20"/>
        </w:rPr>
        <w:t xml:space="preserve"> jednotek, nejvíce</w:t>
      </w:r>
      <w:r w:rsidRPr="00471086">
        <w:rPr>
          <w:b/>
          <w:color w:val="3B3838" w:themeColor="background2" w:themeShade="40"/>
          <w:sz w:val="20"/>
          <w:szCs w:val="20"/>
        </w:rPr>
        <w:t xml:space="preserve"> za několik posledních let. Do dalšího vývoje trhu však vstupuje nový faktor nejistoty v podobě eskalace konfliktu na Blízkém východě, která se již začíná promítat do ceny peněz na finančních trzích a do podmínek hypotečního financování. Vyplývá to z aktuální analýzy společnosti </w:t>
      </w:r>
      <w:proofErr w:type="spellStart"/>
      <w:r w:rsidRPr="00471086">
        <w:rPr>
          <w:b/>
          <w:color w:val="3B3838" w:themeColor="background2" w:themeShade="40"/>
          <w:sz w:val="20"/>
          <w:szCs w:val="20"/>
        </w:rPr>
        <w:t>Trikaya</w:t>
      </w:r>
      <w:proofErr w:type="spellEnd"/>
      <w:r w:rsidRPr="00471086">
        <w:rPr>
          <w:b/>
          <w:color w:val="3B3838" w:themeColor="background2" w:themeShade="40"/>
          <w:sz w:val="20"/>
          <w:szCs w:val="20"/>
        </w:rPr>
        <w:t>.</w:t>
      </w:r>
    </w:p>
    <w:p w14:paraId="5C3BE63B" w14:textId="53BE9DB8" w:rsidR="00D7218C" w:rsidRPr="00893A3B" w:rsidRDefault="00893A3B" w:rsidP="00893A3B">
      <w:pPr>
        <w:spacing w:after="160"/>
        <w:jc w:val="both"/>
        <w:rPr>
          <w:bCs/>
          <w:color w:val="3B3838" w:themeColor="background2" w:themeShade="40"/>
          <w:sz w:val="20"/>
          <w:szCs w:val="20"/>
        </w:rPr>
      </w:pPr>
      <w:r w:rsidRPr="00893A3B">
        <w:rPr>
          <w:bCs/>
          <w:color w:val="3B3838" w:themeColor="background2" w:themeShade="40"/>
          <w:sz w:val="20"/>
          <w:szCs w:val="20"/>
        </w:rPr>
        <w:t>„</w:t>
      </w:r>
      <w:r w:rsidRPr="00D7218C">
        <w:rPr>
          <w:bCs/>
          <w:i/>
          <w:iCs/>
          <w:color w:val="3B3838" w:themeColor="background2" w:themeShade="40"/>
          <w:sz w:val="20"/>
          <w:szCs w:val="20"/>
        </w:rPr>
        <w:t>Trh s novostavbami v Brně si udržuje silnou dynamiku, ale vstupujeme do období, které bude formovat více vnějších vlivů. Růst nabídky dává kupujícím větší prostor pro výběr, zároveň se ale mění podmínky financování. Kombinace těchto faktorů bude klíčová pro další směřování trhu,"</w:t>
      </w:r>
      <w:r w:rsidRPr="00893A3B">
        <w:rPr>
          <w:bCs/>
          <w:color w:val="3B3838" w:themeColor="background2" w:themeShade="40"/>
          <w:sz w:val="20"/>
          <w:szCs w:val="20"/>
        </w:rPr>
        <w:t xml:space="preserve"> uvádí Dalibor </w:t>
      </w:r>
      <w:proofErr w:type="spellStart"/>
      <w:r w:rsidRPr="00893A3B">
        <w:rPr>
          <w:bCs/>
          <w:color w:val="3B3838" w:themeColor="background2" w:themeShade="40"/>
          <w:sz w:val="20"/>
          <w:szCs w:val="20"/>
        </w:rPr>
        <w:t>Lamka</w:t>
      </w:r>
      <w:proofErr w:type="spellEnd"/>
      <w:r w:rsidRPr="00893A3B">
        <w:rPr>
          <w:bCs/>
          <w:color w:val="3B3838" w:themeColor="background2" w:themeShade="40"/>
          <w:sz w:val="20"/>
          <w:szCs w:val="20"/>
        </w:rPr>
        <w:t xml:space="preserve">, výkonný ředitel a předseda představenstva společnosti </w:t>
      </w:r>
      <w:proofErr w:type="spellStart"/>
      <w:r w:rsidRPr="00893A3B">
        <w:rPr>
          <w:bCs/>
          <w:color w:val="3B3838" w:themeColor="background2" w:themeShade="40"/>
          <w:sz w:val="20"/>
          <w:szCs w:val="20"/>
        </w:rPr>
        <w:t>Trikaya</w:t>
      </w:r>
      <w:proofErr w:type="spellEnd"/>
      <w:r w:rsidRPr="00893A3B">
        <w:rPr>
          <w:bCs/>
          <w:color w:val="3B3838" w:themeColor="background2" w:themeShade="40"/>
          <w:sz w:val="20"/>
          <w:szCs w:val="20"/>
        </w:rPr>
        <w:t>, která brněnský rezidenční trh analyzuje od roku 2013.</w:t>
      </w:r>
    </w:p>
    <w:p w14:paraId="09DDCD02" w14:textId="5F4B465B" w:rsidR="009F1457" w:rsidRPr="00D7218C" w:rsidRDefault="00893A3B" w:rsidP="00893A3B">
      <w:pPr>
        <w:spacing w:after="160"/>
        <w:jc w:val="both"/>
        <w:rPr>
          <w:b/>
          <w:color w:val="3B3838" w:themeColor="background2" w:themeShade="40"/>
          <w:sz w:val="20"/>
          <w:szCs w:val="20"/>
        </w:rPr>
      </w:pPr>
      <w:r w:rsidRPr="00D7218C">
        <w:rPr>
          <w:b/>
          <w:color w:val="3B3838" w:themeColor="background2" w:themeShade="40"/>
          <w:sz w:val="20"/>
          <w:szCs w:val="20"/>
        </w:rPr>
        <w:t>Prodeje zůstávají nad dlouhodobým průměrem</w:t>
      </w:r>
    </w:p>
    <w:p w14:paraId="13C3B298" w14:textId="03B001DA" w:rsidR="00893A3B" w:rsidRPr="00893A3B" w:rsidRDefault="00893A3B" w:rsidP="00893A3B">
      <w:pPr>
        <w:spacing w:after="160"/>
        <w:jc w:val="both"/>
        <w:rPr>
          <w:bCs/>
          <w:color w:val="3B3838" w:themeColor="background2" w:themeShade="40"/>
          <w:sz w:val="20"/>
          <w:szCs w:val="20"/>
        </w:rPr>
      </w:pPr>
      <w:r w:rsidRPr="00893A3B">
        <w:rPr>
          <w:bCs/>
          <w:color w:val="3B3838" w:themeColor="background2" w:themeShade="40"/>
          <w:sz w:val="20"/>
          <w:szCs w:val="20"/>
        </w:rPr>
        <w:t xml:space="preserve">Od ledna do března se v Brně prodalo celkem 377 bytů v novostavbách. V meziročním srovnání s prvním čtvrtletím roku 2025, které bylo třetím nejúspěšnějším kvartálem v historii sledování trhu, představuje tento výsledek pokles o zhruba pětinu. Podstatné však je, že letošní </w:t>
      </w:r>
      <w:r w:rsidR="003736AD">
        <w:rPr>
          <w:bCs/>
          <w:color w:val="3B3838" w:themeColor="background2" w:themeShade="40"/>
          <w:sz w:val="20"/>
          <w:szCs w:val="20"/>
        </w:rPr>
        <w:t>první čtvrtletí</w:t>
      </w:r>
      <w:r w:rsidRPr="00893A3B">
        <w:rPr>
          <w:bCs/>
          <w:color w:val="3B3838" w:themeColor="background2" w:themeShade="40"/>
          <w:sz w:val="20"/>
          <w:szCs w:val="20"/>
        </w:rPr>
        <w:t xml:space="preserve"> překonal</w:t>
      </w:r>
      <w:r w:rsidR="003736AD">
        <w:rPr>
          <w:bCs/>
          <w:color w:val="3B3838" w:themeColor="background2" w:themeShade="40"/>
          <w:sz w:val="20"/>
          <w:szCs w:val="20"/>
        </w:rPr>
        <w:t>o</w:t>
      </w:r>
      <w:r w:rsidRPr="00893A3B">
        <w:rPr>
          <w:bCs/>
          <w:color w:val="3B3838" w:themeColor="background2" w:themeShade="40"/>
          <w:sz w:val="20"/>
          <w:szCs w:val="20"/>
        </w:rPr>
        <w:t xml:space="preserve"> výsledky všech tří předchozích kvartál</w:t>
      </w:r>
      <w:r w:rsidR="00E50F88">
        <w:rPr>
          <w:bCs/>
          <w:color w:val="3B3838" w:themeColor="background2" w:themeShade="40"/>
          <w:sz w:val="20"/>
          <w:szCs w:val="20"/>
        </w:rPr>
        <w:t>ů</w:t>
      </w:r>
      <w:r w:rsidRPr="00893A3B">
        <w:rPr>
          <w:bCs/>
          <w:color w:val="3B3838" w:themeColor="background2" w:themeShade="40"/>
          <w:sz w:val="20"/>
          <w:szCs w:val="20"/>
        </w:rPr>
        <w:t xml:space="preserve"> roku 2025. Prodejní dynamika v průběhu prvního čtvrtletí gradovala. Zatímco v lednu se prodalo 103 bytů a v únoru 112, březnový výsledek 162 prodaných jednotek byl téměř o polovinu vyšší než únorový. Březnové oživení naznačuje, že zájem kupujících se po tradičně pomalejším začátku roku opět zvedl. Nelze přitom vyloučit, že část březnové aktivity ovlivnilo i avizované zpřísnění podmínek pro investiční hypotéky od dubna 2026, které mohlo některé investory motivovat k rychlejšímu rozhodnutí.</w:t>
      </w:r>
      <w:r w:rsidR="00001381">
        <w:rPr>
          <w:bCs/>
          <w:color w:val="3B3838" w:themeColor="background2" w:themeShade="40"/>
          <w:sz w:val="20"/>
          <w:szCs w:val="20"/>
        </w:rPr>
        <w:t xml:space="preserve"> </w:t>
      </w:r>
      <w:r w:rsidR="00001381" w:rsidRPr="009D25D9">
        <w:rPr>
          <w:bCs/>
          <w:i/>
          <w:iCs/>
          <w:color w:val="3B3838" w:themeColor="background2" w:themeShade="40"/>
          <w:sz w:val="20"/>
          <w:szCs w:val="20"/>
        </w:rPr>
        <w:t>„Do jisté míry jde o efekt mimořádně vysoké základny z počátku loňského roku. Od loňského druhého čtvrtletí lze pozorovat mezičtvrtletně růst počtu prodaných nových bytů a tento růst pokračoval i v 1. čtvrtletí 2026, a to dokonce i v jednotlivých měsících tohoto čtvrtletí,“</w:t>
      </w:r>
      <w:r w:rsidR="00001381">
        <w:rPr>
          <w:bCs/>
          <w:color w:val="3B3838" w:themeColor="background2" w:themeShade="40"/>
          <w:sz w:val="20"/>
          <w:szCs w:val="20"/>
        </w:rPr>
        <w:t xml:space="preserve"> </w:t>
      </w:r>
      <w:r w:rsidR="00F77CAB">
        <w:rPr>
          <w:bCs/>
          <w:color w:val="3B3838" w:themeColor="background2" w:themeShade="40"/>
          <w:sz w:val="20"/>
          <w:szCs w:val="20"/>
        </w:rPr>
        <w:t xml:space="preserve">vysvětluje ekonom Michal </w:t>
      </w:r>
      <w:r w:rsidR="009D25D9">
        <w:rPr>
          <w:bCs/>
          <w:color w:val="3B3838" w:themeColor="background2" w:themeShade="40"/>
          <w:sz w:val="20"/>
          <w:szCs w:val="20"/>
        </w:rPr>
        <w:t>Skořepa.</w:t>
      </w:r>
    </w:p>
    <w:p w14:paraId="077CBABF" w14:textId="0A8A5980" w:rsidR="00893A3B" w:rsidRPr="00A0744E" w:rsidRDefault="00893A3B" w:rsidP="00893A3B">
      <w:pPr>
        <w:spacing w:after="160"/>
        <w:jc w:val="both"/>
        <w:rPr>
          <w:b/>
          <w:color w:val="3B3838" w:themeColor="background2" w:themeShade="40"/>
          <w:sz w:val="20"/>
          <w:szCs w:val="20"/>
        </w:rPr>
      </w:pPr>
      <w:r w:rsidRPr="009F1457">
        <w:rPr>
          <w:b/>
          <w:color w:val="3B3838" w:themeColor="background2" w:themeShade="40"/>
          <w:sz w:val="20"/>
          <w:szCs w:val="20"/>
        </w:rPr>
        <w:t>Nabídková cena poprvé překročila 150 tisíc korun za metr čtvereční</w:t>
      </w:r>
    </w:p>
    <w:p w14:paraId="5771A5E5" w14:textId="13BAC3AE" w:rsidR="00893A3B" w:rsidRPr="00893A3B" w:rsidRDefault="00893A3B" w:rsidP="00893A3B">
      <w:pPr>
        <w:spacing w:after="160"/>
        <w:jc w:val="both"/>
        <w:rPr>
          <w:bCs/>
          <w:color w:val="3B3838" w:themeColor="background2" w:themeShade="40"/>
          <w:sz w:val="20"/>
          <w:szCs w:val="20"/>
        </w:rPr>
      </w:pPr>
      <w:r w:rsidRPr="00893A3B">
        <w:rPr>
          <w:bCs/>
          <w:color w:val="3B3838" w:themeColor="background2" w:themeShade="40"/>
          <w:sz w:val="20"/>
          <w:szCs w:val="20"/>
        </w:rPr>
        <w:t>Cenový růst na brněnském trhu s novostavbami pokračuje i v roce 2026. Průměrná nabídková cena dosáhla v prvním čtvrtletí 15</w:t>
      </w:r>
      <w:r w:rsidR="00DA5A08">
        <w:rPr>
          <w:bCs/>
          <w:color w:val="3B3838" w:themeColor="background2" w:themeShade="40"/>
          <w:sz w:val="20"/>
          <w:szCs w:val="20"/>
        </w:rPr>
        <w:t>4 0</w:t>
      </w:r>
      <w:r w:rsidRPr="00893A3B">
        <w:rPr>
          <w:bCs/>
          <w:color w:val="3B3838" w:themeColor="background2" w:themeShade="40"/>
          <w:sz w:val="20"/>
          <w:szCs w:val="20"/>
        </w:rPr>
        <w:t>00 Kč za metr čtvereční, čímž poprvé v historii brněnského trhu překonala hranici 150 tisíc korun. Meziročně se jedná o nárůst o více než 1</w:t>
      </w:r>
      <w:r w:rsidR="00DA5A08">
        <w:rPr>
          <w:bCs/>
          <w:color w:val="3B3838" w:themeColor="background2" w:themeShade="40"/>
          <w:sz w:val="20"/>
          <w:szCs w:val="20"/>
        </w:rPr>
        <w:t>4</w:t>
      </w:r>
      <w:r w:rsidRPr="00893A3B">
        <w:rPr>
          <w:bCs/>
          <w:color w:val="3B3838" w:themeColor="background2" w:themeShade="40"/>
          <w:sz w:val="20"/>
          <w:szCs w:val="20"/>
        </w:rPr>
        <w:t xml:space="preserve"> procent z loňských 134 900 Kč. Ve srovnání s posledním čtvrtletím roku 2025, kdy se prosincová nabídková cena pohybovala na úrovni 145 </w:t>
      </w:r>
      <w:r w:rsidR="00956172">
        <w:rPr>
          <w:bCs/>
          <w:color w:val="3B3838" w:themeColor="background2" w:themeShade="40"/>
          <w:sz w:val="20"/>
          <w:szCs w:val="20"/>
        </w:rPr>
        <w:t>6</w:t>
      </w:r>
      <w:r w:rsidRPr="00893A3B">
        <w:rPr>
          <w:bCs/>
          <w:color w:val="3B3838" w:themeColor="background2" w:themeShade="40"/>
          <w:sz w:val="20"/>
          <w:szCs w:val="20"/>
        </w:rPr>
        <w:t xml:space="preserve">00 Kč za metr, jde o </w:t>
      </w:r>
      <w:proofErr w:type="spellStart"/>
      <w:r w:rsidRPr="00893A3B">
        <w:rPr>
          <w:bCs/>
          <w:color w:val="3B3838" w:themeColor="background2" w:themeShade="40"/>
          <w:sz w:val="20"/>
          <w:szCs w:val="20"/>
        </w:rPr>
        <w:t>mezikvartální</w:t>
      </w:r>
      <w:proofErr w:type="spellEnd"/>
      <w:r w:rsidRPr="00893A3B">
        <w:rPr>
          <w:bCs/>
          <w:color w:val="3B3838" w:themeColor="background2" w:themeShade="40"/>
          <w:sz w:val="20"/>
          <w:szCs w:val="20"/>
        </w:rPr>
        <w:t xml:space="preserve"> posun o zhruba osm procent.</w:t>
      </w:r>
    </w:p>
    <w:p w14:paraId="2910A8E0" w14:textId="181B83C3" w:rsidR="00893A3B" w:rsidRPr="00893A3B" w:rsidRDefault="00893A3B" w:rsidP="00893A3B">
      <w:pPr>
        <w:spacing w:after="160"/>
        <w:jc w:val="both"/>
        <w:rPr>
          <w:bCs/>
          <w:color w:val="3B3838" w:themeColor="background2" w:themeShade="40"/>
          <w:sz w:val="20"/>
          <w:szCs w:val="20"/>
        </w:rPr>
      </w:pPr>
      <w:r w:rsidRPr="00893A3B">
        <w:rPr>
          <w:bCs/>
          <w:color w:val="3B3838" w:themeColor="background2" w:themeShade="40"/>
          <w:sz w:val="20"/>
          <w:szCs w:val="20"/>
        </w:rPr>
        <w:lastRenderedPageBreak/>
        <w:t>Průměrná prodejní cena, tedy cena pouze u jednotek, které v daném čtvrtletí skutečně našly svého kupce, činila 14</w:t>
      </w:r>
      <w:r w:rsidR="00DA5A08">
        <w:rPr>
          <w:bCs/>
          <w:color w:val="3B3838" w:themeColor="background2" w:themeShade="40"/>
          <w:sz w:val="20"/>
          <w:szCs w:val="20"/>
        </w:rPr>
        <w:t>0 6</w:t>
      </w:r>
      <w:r w:rsidRPr="00893A3B">
        <w:rPr>
          <w:bCs/>
          <w:color w:val="3B3838" w:themeColor="background2" w:themeShade="40"/>
          <w:sz w:val="20"/>
          <w:szCs w:val="20"/>
        </w:rPr>
        <w:t xml:space="preserve">00 Kč za metr čtvereční. Meziročně se jedná o nárůst o necelých deset procent z loňských 128 400 Kč. </w:t>
      </w:r>
      <w:r w:rsidR="0099159C" w:rsidRPr="00D25FD4">
        <w:rPr>
          <w:bCs/>
          <w:i/>
          <w:iCs/>
          <w:color w:val="3B3838" w:themeColor="background2" w:themeShade="40"/>
          <w:sz w:val="20"/>
          <w:szCs w:val="20"/>
        </w:rPr>
        <w:t>„Co se týče meziročního růstu prodejních cen nových bytů, brněnská data po celý loňský rok kolísala kolem 5 procent, to znamená zřetelně pod spíše zhruba desetiprocentními růsty indikovanými Českou bankovní asociací pro celou republiku. První kvartál letošního roku nicméně přinesl změnu: k 10 procentům se zvýšil cenový růst i v Brně,“</w:t>
      </w:r>
      <w:r w:rsidR="0099159C">
        <w:rPr>
          <w:bCs/>
          <w:color w:val="3B3838" w:themeColor="background2" w:themeShade="40"/>
          <w:sz w:val="20"/>
          <w:szCs w:val="20"/>
        </w:rPr>
        <w:t xml:space="preserve"> komentuje</w:t>
      </w:r>
      <w:r w:rsidR="00D25FD4" w:rsidRPr="00D25FD4">
        <w:t xml:space="preserve"> </w:t>
      </w:r>
      <w:r w:rsidR="00D25FD4" w:rsidRPr="00D25FD4">
        <w:rPr>
          <w:bCs/>
          <w:color w:val="3B3838" w:themeColor="background2" w:themeShade="40"/>
          <w:sz w:val="20"/>
          <w:szCs w:val="20"/>
        </w:rPr>
        <w:t>vývoj prodejních cen ekonom Michal Skořepa.</w:t>
      </w:r>
    </w:p>
    <w:p w14:paraId="4499FCBA" w14:textId="77777777" w:rsidR="0095473F" w:rsidRDefault="0095473F" w:rsidP="00893A3B">
      <w:pPr>
        <w:spacing w:after="160"/>
        <w:jc w:val="both"/>
        <w:rPr>
          <w:bCs/>
          <w:color w:val="3B3838" w:themeColor="background2" w:themeShade="40"/>
          <w:sz w:val="20"/>
          <w:szCs w:val="20"/>
        </w:rPr>
      </w:pPr>
    </w:p>
    <w:p w14:paraId="34DFA1A9" w14:textId="1730C248" w:rsidR="00893A3B" w:rsidRPr="00A0744E" w:rsidRDefault="00893A3B" w:rsidP="00893A3B">
      <w:pPr>
        <w:spacing w:after="160"/>
        <w:jc w:val="both"/>
        <w:rPr>
          <w:b/>
          <w:color w:val="3B3838" w:themeColor="background2" w:themeShade="40"/>
          <w:sz w:val="20"/>
          <w:szCs w:val="20"/>
        </w:rPr>
      </w:pPr>
      <w:r w:rsidRPr="00A0744E">
        <w:rPr>
          <w:b/>
          <w:color w:val="3B3838" w:themeColor="background2" w:themeShade="40"/>
          <w:sz w:val="20"/>
          <w:szCs w:val="20"/>
        </w:rPr>
        <w:t>Nabídka volných bytů vzrostla na nejvyšší úroveň za několik let</w:t>
      </w:r>
    </w:p>
    <w:p w14:paraId="5B433D70" w14:textId="5E58EB0C" w:rsidR="00893A3B" w:rsidRPr="00893A3B" w:rsidRDefault="00893A3B" w:rsidP="00893A3B">
      <w:pPr>
        <w:spacing w:after="160"/>
        <w:jc w:val="both"/>
        <w:rPr>
          <w:bCs/>
          <w:color w:val="3B3838" w:themeColor="background2" w:themeShade="40"/>
          <w:sz w:val="20"/>
          <w:szCs w:val="20"/>
        </w:rPr>
      </w:pPr>
      <w:r w:rsidRPr="00893A3B">
        <w:rPr>
          <w:bCs/>
          <w:color w:val="3B3838" w:themeColor="background2" w:themeShade="40"/>
          <w:sz w:val="20"/>
          <w:szCs w:val="20"/>
        </w:rPr>
        <w:t>Jedním z nejvýraznějších posunů na brněnském trhu s novostavbami je rozšíření dostupné nabídky. Na konci března 2026 bylo v prodeji celkem 1 887 bytů, což je o 60 procent více než ve stejném období loňského roku, kdy bylo v nabídce pouhých 1 179 jednotek. Jedná se o nejvyšší počet volných nových bytů na brněnském trhu za několik posledních let.</w:t>
      </w:r>
    </w:p>
    <w:p w14:paraId="2CB600D6" w14:textId="42FD1DDE" w:rsidR="00893A3B" w:rsidRPr="00893A3B" w:rsidRDefault="00893A3B" w:rsidP="00893A3B">
      <w:pPr>
        <w:spacing w:after="160"/>
        <w:jc w:val="both"/>
        <w:rPr>
          <w:bCs/>
          <w:color w:val="3B3838" w:themeColor="background2" w:themeShade="40"/>
          <w:sz w:val="20"/>
          <w:szCs w:val="20"/>
        </w:rPr>
      </w:pPr>
      <w:r w:rsidRPr="00893A3B">
        <w:rPr>
          <w:bCs/>
          <w:color w:val="3B3838" w:themeColor="background2" w:themeShade="40"/>
          <w:sz w:val="20"/>
          <w:szCs w:val="20"/>
        </w:rPr>
        <w:t>Nárůst nabídky je výsledkem postupného dokončování rozestavěných projektů, uvádění nových etap do prodeje i uvedení zcela nových developerských projektů na trh. Při současném prodejním tempu odpovídá aktuální zásoba zhruba patnáctiměsíční spotřebě trhu, což je výrazný posun oproti situaci na konci roku 2024, kdy by při tehdejším tempu prodejů mohla být celá nabídka vyčerpána přibližně za dvanáct měsíců.</w:t>
      </w:r>
    </w:p>
    <w:p w14:paraId="29BCF6F6" w14:textId="77777777" w:rsidR="00EC608C" w:rsidRDefault="00EC608C" w:rsidP="00893A3B">
      <w:pPr>
        <w:spacing w:after="160"/>
        <w:jc w:val="both"/>
        <w:rPr>
          <w:bCs/>
          <w:i/>
          <w:iCs/>
          <w:color w:val="3B3838" w:themeColor="background2" w:themeShade="40"/>
          <w:sz w:val="20"/>
          <w:szCs w:val="20"/>
        </w:rPr>
      </w:pPr>
    </w:p>
    <w:p w14:paraId="7D7661D6" w14:textId="62FD47EB" w:rsidR="00893A3B" w:rsidRPr="00D575A9" w:rsidRDefault="00893A3B" w:rsidP="00893A3B">
      <w:pPr>
        <w:spacing w:after="160"/>
        <w:jc w:val="both"/>
        <w:rPr>
          <w:b/>
          <w:color w:val="3B3838" w:themeColor="background2" w:themeShade="40"/>
          <w:sz w:val="20"/>
          <w:szCs w:val="20"/>
        </w:rPr>
      </w:pPr>
      <w:r w:rsidRPr="00D575A9">
        <w:rPr>
          <w:b/>
          <w:color w:val="3B3838" w:themeColor="background2" w:themeShade="40"/>
          <w:sz w:val="20"/>
          <w:szCs w:val="20"/>
        </w:rPr>
        <w:t>Struktura prodejů potvrzuje dominanci menších dispozic</w:t>
      </w:r>
    </w:p>
    <w:p w14:paraId="5CB7D19F" w14:textId="202A2784" w:rsidR="00893A3B" w:rsidRPr="00893A3B" w:rsidRDefault="00EC608C" w:rsidP="00893A3B">
      <w:pPr>
        <w:spacing w:after="160"/>
        <w:jc w:val="both"/>
        <w:rPr>
          <w:bCs/>
          <w:color w:val="3B3838" w:themeColor="background2" w:themeShade="40"/>
          <w:sz w:val="20"/>
          <w:szCs w:val="20"/>
        </w:rPr>
      </w:pPr>
      <w:r>
        <w:rPr>
          <w:bCs/>
          <w:color w:val="3B3838" w:themeColor="background2" w:themeShade="40"/>
          <w:sz w:val="20"/>
          <w:szCs w:val="20"/>
        </w:rPr>
        <w:t>S</w:t>
      </w:r>
      <w:r w:rsidR="00893A3B" w:rsidRPr="00893A3B">
        <w:rPr>
          <w:bCs/>
          <w:color w:val="3B3838" w:themeColor="background2" w:themeShade="40"/>
          <w:sz w:val="20"/>
          <w:szCs w:val="20"/>
        </w:rPr>
        <w:t>truktura prodejů v prvním čtvrtletí roku 2026 odpovídá dlouhodobým preferencím brněnských kupujících. Nejvíce jednotek se prodalo v dispozici 2+kk, konkrétně 151 bytů, což představuje 40 procent všech transakcí. Druhou nejprodávanější dispozicí byly byty 1+kk se 119 prodanými jednotkami (32 procent). Třípokojové byty 3+kk zaznamenaly 81 prodejů (21 procent), zatímco větší byty 4+kk zůstávají menšinovým segmentem s 25 prodanými jednotkami.</w:t>
      </w:r>
    </w:p>
    <w:p w14:paraId="5B460649" w14:textId="3EB6CFC9" w:rsidR="00893A3B" w:rsidRPr="00893A3B" w:rsidRDefault="00893A3B" w:rsidP="00893A3B">
      <w:pPr>
        <w:spacing w:after="160"/>
        <w:jc w:val="both"/>
        <w:rPr>
          <w:bCs/>
          <w:color w:val="3B3838" w:themeColor="background2" w:themeShade="40"/>
          <w:sz w:val="20"/>
          <w:szCs w:val="20"/>
        </w:rPr>
      </w:pPr>
      <w:r w:rsidRPr="00893A3B">
        <w:rPr>
          <w:bCs/>
          <w:color w:val="3B3838" w:themeColor="background2" w:themeShade="40"/>
          <w:sz w:val="20"/>
          <w:szCs w:val="20"/>
        </w:rPr>
        <w:t>Cenová struktura zůstává v souladu s dlouhodobými trendy. Nejvyšších cen za metr čtvereční dosahují právě menší byty, zejména dispozice 1+kk, kde se cena pohybuje nad hranicí 1</w:t>
      </w:r>
      <w:r w:rsidR="00DA5A08">
        <w:rPr>
          <w:bCs/>
          <w:color w:val="3B3838" w:themeColor="background2" w:themeShade="40"/>
          <w:sz w:val="20"/>
          <w:szCs w:val="20"/>
        </w:rPr>
        <w:t>5</w:t>
      </w:r>
      <w:r w:rsidRPr="00893A3B">
        <w:rPr>
          <w:bCs/>
          <w:color w:val="3B3838" w:themeColor="background2" w:themeShade="40"/>
          <w:sz w:val="20"/>
          <w:szCs w:val="20"/>
        </w:rPr>
        <w:t>0 tisíc korun za metr čtvereční. U větších dispozic je čtvereční metr tradičně dostupnější a cena se pohybuje v rozmezí přibližně 1</w:t>
      </w:r>
      <w:r w:rsidR="00DA5A08">
        <w:rPr>
          <w:bCs/>
          <w:color w:val="3B3838" w:themeColor="background2" w:themeShade="40"/>
          <w:sz w:val="20"/>
          <w:szCs w:val="20"/>
        </w:rPr>
        <w:t>35</w:t>
      </w:r>
      <w:r w:rsidRPr="00893A3B">
        <w:rPr>
          <w:bCs/>
          <w:color w:val="3B3838" w:themeColor="background2" w:themeShade="40"/>
          <w:sz w:val="20"/>
          <w:szCs w:val="20"/>
        </w:rPr>
        <w:t xml:space="preserve"> až 1</w:t>
      </w:r>
      <w:r w:rsidR="00DA5A08">
        <w:rPr>
          <w:bCs/>
          <w:color w:val="3B3838" w:themeColor="background2" w:themeShade="40"/>
          <w:sz w:val="20"/>
          <w:szCs w:val="20"/>
        </w:rPr>
        <w:t>49</w:t>
      </w:r>
      <w:r w:rsidRPr="00893A3B">
        <w:rPr>
          <w:bCs/>
          <w:color w:val="3B3838" w:themeColor="background2" w:themeShade="40"/>
          <w:sz w:val="20"/>
          <w:szCs w:val="20"/>
        </w:rPr>
        <w:t xml:space="preserve"> tisíc korun.</w:t>
      </w:r>
    </w:p>
    <w:p w14:paraId="548D8BC7" w14:textId="5208D68C" w:rsidR="00893A3B" w:rsidRPr="00893A3B" w:rsidRDefault="00893A3B" w:rsidP="00893A3B">
      <w:pPr>
        <w:spacing w:after="160"/>
        <w:jc w:val="both"/>
        <w:rPr>
          <w:bCs/>
          <w:color w:val="3B3838" w:themeColor="background2" w:themeShade="40"/>
          <w:sz w:val="20"/>
          <w:szCs w:val="20"/>
        </w:rPr>
      </w:pPr>
      <w:r w:rsidRPr="00893A3B">
        <w:rPr>
          <w:bCs/>
          <w:color w:val="3B3838" w:themeColor="background2" w:themeShade="40"/>
          <w:sz w:val="20"/>
          <w:szCs w:val="20"/>
        </w:rPr>
        <w:t>Za zmínku stojí posun ve struktuře prodejů oproti předchozím obdobím. Zatímco v posledním čtvrtletí roku 2024 tvořily jednopokojové byty téměř polovinu všech prodejů, v prvním čtvrtletí 2025 se jejich podíl snížil na 42 procent a nyní dále klesl na 32 procent. Naopak podíl dvoupokojových bytů výrazně posílil. Tento posun může odrážet jak širší nabídku dvoupokojových jednotek v nových projektech, tak poptávku domácností, které kromě investičního motivu hledají i reálné bydlení.</w:t>
      </w:r>
    </w:p>
    <w:p w14:paraId="68C43309" w14:textId="196B2BB1" w:rsidR="00893A3B" w:rsidRPr="00D575A9" w:rsidRDefault="00893A3B" w:rsidP="00893A3B">
      <w:pPr>
        <w:spacing w:after="160"/>
        <w:jc w:val="both"/>
        <w:rPr>
          <w:b/>
          <w:color w:val="3B3838" w:themeColor="background2" w:themeShade="40"/>
          <w:sz w:val="20"/>
          <w:szCs w:val="20"/>
        </w:rPr>
      </w:pPr>
      <w:r w:rsidRPr="00D575A9">
        <w:rPr>
          <w:b/>
          <w:color w:val="3B3838" w:themeColor="background2" w:themeShade="40"/>
          <w:sz w:val="20"/>
          <w:szCs w:val="20"/>
        </w:rPr>
        <w:lastRenderedPageBreak/>
        <w:t xml:space="preserve">Výhled v podobě silné nabídky ale i nových nejistot </w:t>
      </w:r>
    </w:p>
    <w:p w14:paraId="37ABE5BC" w14:textId="7C663567" w:rsidR="00893A3B" w:rsidRPr="00893A3B" w:rsidRDefault="00893A3B" w:rsidP="00893A3B">
      <w:pPr>
        <w:spacing w:after="160"/>
        <w:jc w:val="both"/>
        <w:rPr>
          <w:bCs/>
          <w:color w:val="3B3838" w:themeColor="background2" w:themeShade="40"/>
          <w:sz w:val="20"/>
          <w:szCs w:val="20"/>
        </w:rPr>
      </w:pPr>
      <w:r w:rsidRPr="00893A3B">
        <w:rPr>
          <w:bCs/>
          <w:color w:val="3B3838" w:themeColor="background2" w:themeShade="40"/>
          <w:sz w:val="20"/>
          <w:szCs w:val="20"/>
        </w:rPr>
        <w:t>Vstup do roku 2026 přináší na brněnský rezidenční trh novou dynamiku. Po dvou nadprůměrně silných letech, kdy poptávka výrazně převyšovala nabídku a ceny strmě rostly, nabízí trh kupujícím příznivější podmínky – širší výběr, delší čas na rozhodnutí a větší prostor pro porovnání projektů.</w:t>
      </w:r>
    </w:p>
    <w:p w14:paraId="090D4994" w14:textId="2632AFE8" w:rsidR="00893A3B" w:rsidRPr="00893A3B" w:rsidRDefault="00893A3B" w:rsidP="00893A3B">
      <w:pPr>
        <w:spacing w:after="160"/>
        <w:jc w:val="both"/>
        <w:rPr>
          <w:bCs/>
          <w:color w:val="3B3838" w:themeColor="background2" w:themeShade="40"/>
          <w:sz w:val="20"/>
          <w:szCs w:val="20"/>
        </w:rPr>
      </w:pPr>
      <w:r w:rsidRPr="00893A3B">
        <w:rPr>
          <w:bCs/>
          <w:color w:val="3B3838" w:themeColor="background2" w:themeShade="40"/>
          <w:sz w:val="20"/>
          <w:szCs w:val="20"/>
        </w:rPr>
        <w:t>Z dlouhodobého pohledu přitom fundamenty brněnského trhu zůstávají beze změny. Omezená kapacita stavebního řízení, rostoucí vstupní náklady výstavby i přetrvávající strukturální deficit bytů v moravské metropoli nadále vytvářejí podmínky pro růst cen.</w:t>
      </w:r>
    </w:p>
    <w:p w14:paraId="08440A20" w14:textId="2A499A09" w:rsidR="00893A3B" w:rsidRPr="00893A3B" w:rsidRDefault="00893A3B" w:rsidP="00893A3B">
      <w:pPr>
        <w:spacing w:after="160"/>
        <w:jc w:val="both"/>
        <w:rPr>
          <w:bCs/>
          <w:color w:val="3B3838" w:themeColor="background2" w:themeShade="40"/>
          <w:sz w:val="20"/>
          <w:szCs w:val="20"/>
        </w:rPr>
      </w:pPr>
      <w:r w:rsidRPr="00893A3B">
        <w:rPr>
          <w:bCs/>
          <w:color w:val="3B3838" w:themeColor="background2" w:themeShade="40"/>
          <w:sz w:val="20"/>
          <w:szCs w:val="20"/>
        </w:rPr>
        <w:t>Do dalšího vývoje však vstupuje nový faktor nejistoty. Eskalace konfliktu na Blízkém východě, zejména americko-izraelské údery na Írán z přelomu února a března, se promítla do prudkého nárůstu úrokových swapů na finančních trzích. Pětiletý swap, který se přímo odráží v ceně hypotečních úvěrů, zdražil za poslední měsíc o téměř 80 bazických bodů. První banky již přistoupily ke zvýšení hypotečních sazeb a další avizují, že budou následovat. Hypoteční sazby, které se na začátku roku stabilizovaly v pásmu kolem čtyř až pěti procent, tak mohou v následujících měsících vzrůst o další desetiny až půl procentního bodu.</w:t>
      </w:r>
    </w:p>
    <w:p w14:paraId="3A135D19" w14:textId="6F80778B" w:rsidR="00893A3B" w:rsidRPr="0051688C" w:rsidRDefault="00893A3B" w:rsidP="00893A3B">
      <w:pPr>
        <w:spacing w:after="160"/>
        <w:jc w:val="both"/>
        <w:rPr>
          <w:bCs/>
          <w:i/>
          <w:iCs/>
          <w:color w:val="3B3838" w:themeColor="background2" w:themeShade="40"/>
          <w:sz w:val="20"/>
          <w:szCs w:val="20"/>
        </w:rPr>
      </w:pPr>
      <w:r w:rsidRPr="00893A3B">
        <w:rPr>
          <w:bCs/>
          <w:color w:val="3B3838" w:themeColor="background2" w:themeShade="40"/>
          <w:sz w:val="20"/>
          <w:szCs w:val="20"/>
        </w:rPr>
        <w:t>Vedle toho od 1. dubna 2026 vstupuje v platnost doporučení ČNB pro zpřísnění podmínek investičních hypoték. Banky budou u nákupu třetí a další obytné nemovitosti nebo při financování nemovitosti za účelem pronájmu vyžadovat maximální LTV 70 procent a maximální DTI sedminásobek ročního příjmu žadatele. Většina velkých bank již avizovala, že doporučení uplatní, některé tak učinily ještě před oficiálním datem. Investiční hypotéky tvoří podle dostupných dat bank přibližně devět procent nově poskytnutých hypoték, a samotné opatření by tedy nemělo trh zásadně zasáhnout. Může ale ovlivnit rozhodování části investičních kupujících, kteří tvoří nezanedbatelnou složku poptávky po nových bytech.</w:t>
      </w:r>
      <w:r w:rsidR="0086578F">
        <w:rPr>
          <w:bCs/>
          <w:color w:val="3B3838" w:themeColor="background2" w:themeShade="40"/>
          <w:sz w:val="20"/>
          <w:szCs w:val="20"/>
        </w:rPr>
        <w:t xml:space="preserve"> To potvrzuje i Michal Skořepa: </w:t>
      </w:r>
      <w:r w:rsidR="0051688C" w:rsidRPr="0051688C">
        <w:rPr>
          <w:bCs/>
          <w:i/>
          <w:iCs/>
          <w:color w:val="3B3838" w:themeColor="background2" w:themeShade="40"/>
          <w:sz w:val="20"/>
          <w:szCs w:val="20"/>
        </w:rPr>
        <w:t>„Vzhledem ke zpřísnění pravidel ČNB pro hypotéky</w:t>
      </w:r>
      <w:r w:rsidR="0051688C">
        <w:rPr>
          <w:bCs/>
          <w:i/>
          <w:iCs/>
          <w:color w:val="3B3838" w:themeColor="background2" w:themeShade="40"/>
          <w:sz w:val="20"/>
          <w:szCs w:val="20"/>
        </w:rPr>
        <w:t xml:space="preserve">, </w:t>
      </w:r>
      <w:r w:rsidR="0051688C" w:rsidRPr="0051688C">
        <w:rPr>
          <w:bCs/>
          <w:i/>
          <w:iCs/>
          <w:color w:val="3B3838" w:themeColor="background2" w:themeShade="40"/>
          <w:sz w:val="20"/>
          <w:szCs w:val="20"/>
        </w:rPr>
        <w:t>byť jen pro ty doprovázející nákup bytu na investici</w:t>
      </w:r>
      <w:r w:rsidR="0051688C">
        <w:rPr>
          <w:bCs/>
          <w:i/>
          <w:iCs/>
          <w:color w:val="3B3838" w:themeColor="background2" w:themeShade="40"/>
          <w:sz w:val="20"/>
          <w:szCs w:val="20"/>
        </w:rPr>
        <w:t>,</w:t>
      </w:r>
      <w:r w:rsidR="0051688C" w:rsidRPr="0051688C">
        <w:rPr>
          <w:bCs/>
          <w:i/>
          <w:iCs/>
          <w:color w:val="3B3838" w:themeColor="background2" w:themeShade="40"/>
          <w:sz w:val="20"/>
          <w:szCs w:val="20"/>
        </w:rPr>
        <w:t xml:space="preserve"> od letošního dubna by ovšem nemělo být velkým překvapením, pokud nyní v počtu prodaných bytů nastane pokles i mezičtvrtletně. Trh s hypotékami i s byty tak na nějakou dobu může zažít mírné ochlazení.“</w:t>
      </w:r>
    </w:p>
    <w:p w14:paraId="2DE0F534" w14:textId="6B7DAEF5" w:rsidR="00893A3B" w:rsidRPr="00893A3B" w:rsidRDefault="00893A3B" w:rsidP="00893A3B">
      <w:pPr>
        <w:spacing w:after="160"/>
        <w:jc w:val="both"/>
        <w:rPr>
          <w:bCs/>
          <w:color w:val="3B3838" w:themeColor="background2" w:themeShade="40"/>
          <w:sz w:val="20"/>
          <w:szCs w:val="20"/>
        </w:rPr>
      </w:pPr>
      <w:r w:rsidRPr="00893A3B">
        <w:rPr>
          <w:bCs/>
          <w:color w:val="3B3838" w:themeColor="background2" w:themeShade="40"/>
          <w:sz w:val="20"/>
          <w:szCs w:val="20"/>
        </w:rPr>
        <w:t>Do dat za první čtvrtletí se tyto změny ještě výrazněji nepropsaly. Březnový nárůst prodejů naopak naznačuje, že poptávka zůstávala silná. Jejich plný efekt se však může projevit v průběhu druhého a třetího kvartálu 2026.</w:t>
      </w:r>
    </w:p>
    <w:p w14:paraId="2A2B8A9B" w14:textId="215301D3" w:rsidR="00893A3B" w:rsidRPr="00893A3B" w:rsidRDefault="00893A3B" w:rsidP="00893A3B">
      <w:pPr>
        <w:spacing w:after="160"/>
        <w:jc w:val="both"/>
        <w:rPr>
          <w:bCs/>
          <w:color w:val="3B3838" w:themeColor="background2" w:themeShade="40"/>
          <w:sz w:val="20"/>
          <w:szCs w:val="20"/>
        </w:rPr>
      </w:pPr>
      <w:r w:rsidRPr="00515015">
        <w:rPr>
          <w:bCs/>
          <w:i/>
          <w:iCs/>
          <w:color w:val="3B3838" w:themeColor="background2" w:themeShade="40"/>
          <w:sz w:val="20"/>
          <w:szCs w:val="20"/>
        </w:rPr>
        <w:t xml:space="preserve">„Brněnský trh s novostavbami je v dobré kondici, ale nedělejme si iluze, že vnější prostředí nemůže situaci změnit. Geopolitické napětí a jeho dopad na cenu peněz jsou reálným faktorem, který bude spoluurčovat tempo prodejů i cenový vývoj v nadcházejících měsících. Pro kupující, kteří v předchozích dvou letech na koupi nedosáhli nebo ji odkládali kvůli omezenému výběru, je aktuální situace stále příznivá – nabídka je široká a ceny nemusí v dalších měsících růst tak rychlým tempem. Kdo ale zvažuje nákup, neměl by zapomínat, že nabídková cena za metr čtvereční za pouhé dva roky vzrostla o </w:t>
      </w:r>
      <w:r w:rsidR="00DA5A08">
        <w:rPr>
          <w:bCs/>
          <w:i/>
          <w:iCs/>
          <w:color w:val="3B3838" w:themeColor="background2" w:themeShade="40"/>
          <w:sz w:val="20"/>
          <w:szCs w:val="20"/>
        </w:rPr>
        <w:t>téměř</w:t>
      </w:r>
      <w:r w:rsidRPr="00515015">
        <w:rPr>
          <w:bCs/>
          <w:i/>
          <w:iCs/>
          <w:color w:val="3B3838" w:themeColor="background2" w:themeShade="40"/>
          <w:sz w:val="20"/>
          <w:szCs w:val="20"/>
        </w:rPr>
        <w:t xml:space="preserve"> třicet tisíc korun. Dlouhodobý cenový trend je jasný a každé další čekání se historicky ukazuje jako dražší varianta,"</w:t>
      </w:r>
      <w:r w:rsidRPr="00893A3B">
        <w:rPr>
          <w:bCs/>
          <w:color w:val="3B3838" w:themeColor="background2" w:themeShade="40"/>
          <w:sz w:val="20"/>
          <w:szCs w:val="20"/>
        </w:rPr>
        <w:t xml:space="preserve"> uzavírá </w:t>
      </w:r>
      <w:proofErr w:type="spellStart"/>
      <w:r w:rsidRPr="00893A3B">
        <w:rPr>
          <w:bCs/>
          <w:color w:val="3B3838" w:themeColor="background2" w:themeShade="40"/>
          <w:sz w:val="20"/>
          <w:szCs w:val="20"/>
        </w:rPr>
        <w:t>Lamka</w:t>
      </w:r>
      <w:proofErr w:type="spellEnd"/>
      <w:r w:rsidRPr="00893A3B">
        <w:rPr>
          <w:bCs/>
          <w:color w:val="3B3838" w:themeColor="background2" w:themeShade="40"/>
          <w:sz w:val="20"/>
          <w:szCs w:val="20"/>
        </w:rPr>
        <w:t>.</w:t>
      </w:r>
    </w:p>
    <w:p w14:paraId="6371376B" w14:textId="77777777" w:rsidR="00893A3B" w:rsidRPr="00893A3B" w:rsidRDefault="00893A3B" w:rsidP="00893A3B">
      <w:pPr>
        <w:spacing w:after="160"/>
        <w:jc w:val="both"/>
        <w:rPr>
          <w:bCs/>
          <w:color w:val="3B3838" w:themeColor="background2" w:themeShade="40"/>
          <w:sz w:val="20"/>
          <w:szCs w:val="20"/>
        </w:rPr>
      </w:pPr>
    </w:p>
    <w:p w14:paraId="1FE5AE28" w14:textId="297C1EF5" w:rsidR="002D59C8" w:rsidRPr="002D59C8" w:rsidRDefault="002D59C8" w:rsidP="00DA5A08">
      <w:pPr>
        <w:spacing w:after="160"/>
        <w:jc w:val="both"/>
        <w:rPr>
          <w:b/>
          <w:i/>
          <w:iCs/>
          <w:color w:val="3B3838" w:themeColor="background2" w:themeShade="40"/>
          <w:sz w:val="16"/>
          <w:szCs w:val="16"/>
        </w:rPr>
      </w:pPr>
      <w:r w:rsidRPr="002D59C8">
        <w:rPr>
          <w:b/>
          <w:i/>
          <w:iCs/>
          <w:color w:val="3B3838" w:themeColor="background2" w:themeShade="40"/>
          <w:sz w:val="16"/>
          <w:szCs w:val="16"/>
        </w:rPr>
        <w:lastRenderedPageBreak/>
        <w:t xml:space="preserve">Metodika analýzy společnosti </w:t>
      </w:r>
      <w:proofErr w:type="spellStart"/>
      <w:r w:rsidRPr="002D59C8">
        <w:rPr>
          <w:b/>
          <w:i/>
          <w:iCs/>
          <w:color w:val="3B3838" w:themeColor="background2" w:themeShade="40"/>
          <w:sz w:val="16"/>
          <w:szCs w:val="16"/>
        </w:rPr>
        <w:t>Trikaya</w:t>
      </w:r>
      <w:proofErr w:type="spellEnd"/>
    </w:p>
    <w:p w14:paraId="7D2795E2" w14:textId="77777777" w:rsidR="00165522" w:rsidRDefault="00DA5A08" w:rsidP="00DA5A08">
      <w:pPr>
        <w:spacing w:after="160"/>
        <w:jc w:val="both"/>
        <w:rPr>
          <w:bCs/>
          <w:i/>
          <w:iCs/>
          <w:color w:val="3B3838" w:themeColor="background2" w:themeShade="40"/>
          <w:sz w:val="16"/>
          <w:szCs w:val="16"/>
        </w:rPr>
      </w:pPr>
      <w:r w:rsidRPr="002D59C8">
        <w:rPr>
          <w:bCs/>
          <w:i/>
          <w:iCs/>
          <w:color w:val="3B3838" w:themeColor="background2" w:themeShade="40"/>
          <w:sz w:val="16"/>
          <w:szCs w:val="16"/>
        </w:rPr>
        <w:t xml:space="preserve">Společnost </w:t>
      </w:r>
      <w:proofErr w:type="spellStart"/>
      <w:r w:rsidRPr="002D59C8">
        <w:rPr>
          <w:bCs/>
          <w:i/>
          <w:iCs/>
          <w:color w:val="3B3838" w:themeColor="background2" w:themeShade="40"/>
          <w:sz w:val="16"/>
          <w:szCs w:val="16"/>
        </w:rPr>
        <w:t>Trikaya</w:t>
      </w:r>
      <w:proofErr w:type="spellEnd"/>
      <w:r w:rsidRPr="002D59C8">
        <w:rPr>
          <w:bCs/>
          <w:i/>
          <w:iCs/>
          <w:color w:val="3B3838" w:themeColor="background2" w:themeShade="40"/>
          <w:sz w:val="16"/>
          <w:szCs w:val="16"/>
        </w:rPr>
        <w:t xml:space="preserve"> monitoruje trh novostaveb v Brně již od roku 2013. Údaje v pravidelně publikovaných analýzách čerpají ze statistické databáze, vycházející ze všech nabízených bytů v brněnských novostavbách.</w:t>
      </w:r>
      <w:r w:rsidR="008405F5">
        <w:rPr>
          <w:bCs/>
          <w:i/>
          <w:iCs/>
          <w:color w:val="3B3838" w:themeColor="background2" w:themeShade="40"/>
          <w:sz w:val="16"/>
          <w:szCs w:val="16"/>
        </w:rPr>
        <w:t xml:space="preserve"> </w:t>
      </w:r>
      <w:r w:rsidRPr="002D59C8">
        <w:rPr>
          <w:bCs/>
          <w:i/>
          <w:iCs/>
          <w:color w:val="3B3838" w:themeColor="background2" w:themeShade="40"/>
          <w:sz w:val="16"/>
          <w:szCs w:val="16"/>
        </w:rPr>
        <w:t>Zdrojem dat jsou online uveřejňované ceníky jednotlivých developerských projektů a developerů. Díky pravidelné aktualizaci reflektují získaná data nejenom aktuální stav nabídky, ale také vývoj prodejů a cen jednotlivých nemovitostí, a to na úrovni konkrétních bytů. Zdrojová databáze čítá na tři sta developerských projektů s více než deseti tisíci jednotlivých bytů. U každého jednotlivého bytu jsou sjednocenou metodikou zaznamenávány základní údaje i pravidelný vývoj ceny a jeho aktuální stav. Jedná se tak o aktuálně nejpodrobnější analýzu trhu novostaveb v Brně, která svou metodologií odpovídá analýzám pražského trhu. Oproti analýzám, které vycházejí z katastru nemovitostí, má poskytovaná metodika několik specifik. Vzhledem k tomu, že se jedná o analýzu nabídkových cen a ceníků, nepokrývá kompletně všechny transakce. U menších projektů novostaveb se může stát, že investor byty do veřejné nabídky ani neuvolní. Na druhou stranu přináší nejpřesnější vývoj v čase, protože zaznamenává ceny v době realizace prodeje, nikoliv až k datu zveřejnění v katastru nemovitostí. Převážná většina novostaveb se prodává tzv. z papíru – tedy před dokončením, na základě budoucích kupních smluv. Finální smlouva putuje na katastrální úřad třeba i s dvouletým zpožděním (až se dům zkolauduje). Analýzy cen podle údajů z katastru proto zahrnují časově velmi různorodé cenové hladiny, a vývoj cen podle těchto informací je tak mnohdy velmi zkreslený. Prodejní cena metodiky vychází z poslední dostupné ceny uváděné v ceníku jednotlivých developerských projektů a developerů.</w:t>
      </w:r>
      <w:r w:rsidR="008405F5">
        <w:rPr>
          <w:bCs/>
          <w:i/>
          <w:iCs/>
          <w:color w:val="3B3838" w:themeColor="background2" w:themeShade="40"/>
          <w:sz w:val="16"/>
          <w:szCs w:val="16"/>
        </w:rPr>
        <w:t xml:space="preserve"> </w:t>
      </w:r>
    </w:p>
    <w:p w14:paraId="490F5424" w14:textId="3B9924DA" w:rsidR="00DA5A08" w:rsidRDefault="008405F5" w:rsidP="00DA5A08">
      <w:pPr>
        <w:spacing w:after="160"/>
        <w:jc w:val="both"/>
        <w:rPr>
          <w:bCs/>
          <w:i/>
          <w:iCs/>
          <w:color w:val="3B3838" w:themeColor="background2" w:themeShade="40"/>
          <w:sz w:val="16"/>
          <w:szCs w:val="16"/>
        </w:rPr>
      </w:pPr>
      <w:r w:rsidRPr="002D59C8">
        <w:rPr>
          <w:bCs/>
          <w:i/>
          <w:iCs/>
          <w:color w:val="3B3838" w:themeColor="background2" w:themeShade="40"/>
          <w:sz w:val="16"/>
          <w:szCs w:val="16"/>
        </w:rPr>
        <w:t xml:space="preserve">Od roku 2026 spolupracuje společnost </w:t>
      </w:r>
      <w:proofErr w:type="spellStart"/>
      <w:r w:rsidRPr="002D59C8">
        <w:rPr>
          <w:bCs/>
          <w:i/>
          <w:iCs/>
          <w:color w:val="3B3838" w:themeColor="background2" w:themeShade="40"/>
          <w:sz w:val="16"/>
          <w:szCs w:val="16"/>
        </w:rPr>
        <w:t>Trikaya</w:t>
      </w:r>
      <w:proofErr w:type="spellEnd"/>
      <w:r w:rsidRPr="002D59C8">
        <w:rPr>
          <w:bCs/>
          <w:i/>
          <w:iCs/>
          <w:color w:val="3B3838" w:themeColor="background2" w:themeShade="40"/>
          <w:sz w:val="16"/>
          <w:szCs w:val="16"/>
        </w:rPr>
        <w:t xml:space="preserve"> na zpracování dat se společností </w:t>
      </w:r>
      <w:proofErr w:type="spellStart"/>
      <w:r w:rsidRPr="002D59C8">
        <w:rPr>
          <w:bCs/>
          <w:i/>
          <w:iCs/>
          <w:color w:val="3B3838" w:themeColor="background2" w:themeShade="40"/>
          <w:sz w:val="16"/>
          <w:szCs w:val="16"/>
        </w:rPr>
        <w:t>BuiltMind</w:t>
      </w:r>
      <w:proofErr w:type="spellEnd"/>
      <w:r w:rsidRPr="002D59C8">
        <w:rPr>
          <w:bCs/>
          <w:i/>
          <w:iCs/>
          <w:color w:val="3B3838" w:themeColor="background2" w:themeShade="40"/>
          <w:sz w:val="16"/>
          <w:szCs w:val="16"/>
        </w:rPr>
        <w:t>.</w:t>
      </w:r>
    </w:p>
    <w:p w14:paraId="6E20E3EF" w14:textId="77777777" w:rsidR="002D59C8" w:rsidRPr="002D59C8" w:rsidRDefault="002D59C8" w:rsidP="00DA5A08">
      <w:pPr>
        <w:spacing w:after="160"/>
        <w:jc w:val="both"/>
        <w:rPr>
          <w:bCs/>
          <w:i/>
          <w:iCs/>
          <w:color w:val="3B3838" w:themeColor="background2" w:themeShade="40"/>
          <w:sz w:val="16"/>
          <w:szCs w:val="16"/>
        </w:rPr>
      </w:pPr>
    </w:p>
    <w:p w14:paraId="0ADE6666" w14:textId="1F04CB42" w:rsidR="002D59C8" w:rsidRPr="002D59C8" w:rsidRDefault="002D59C8" w:rsidP="002D59C8">
      <w:pPr>
        <w:spacing w:after="160"/>
        <w:jc w:val="both"/>
        <w:rPr>
          <w:b/>
          <w:i/>
          <w:iCs/>
          <w:color w:val="3B3838" w:themeColor="background2" w:themeShade="40"/>
          <w:sz w:val="16"/>
          <w:szCs w:val="16"/>
        </w:rPr>
      </w:pPr>
      <w:r w:rsidRPr="002D59C8">
        <w:rPr>
          <w:b/>
          <w:i/>
          <w:iCs/>
          <w:color w:val="3B3838" w:themeColor="background2" w:themeShade="40"/>
          <w:sz w:val="16"/>
          <w:szCs w:val="16"/>
        </w:rPr>
        <w:t xml:space="preserve">O společnosti </w:t>
      </w:r>
    </w:p>
    <w:p w14:paraId="01171747" w14:textId="1123079D" w:rsidR="00DA5A08" w:rsidRPr="002D59C8" w:rsidRDefault="002D59C8" w:rsidP="002D59C8">
      <w:pPr>
        <w:spacing w:after="160"/>
        <w:jc w:val="both"/>
        <w:rPr>
          <w:bCs/>
          <w:i/>
          <w:iCs/>
          <w:color w:val="3B3838" w:themeColor="background2" w:themeShade="40"/>
          <w:sz w:val="16"/>
          <w:szCs w:val="16"/>
        </w:rPr>
      </w:pPr>
      <w:r w:rsidRPr="002D59C8">
        <w:rPr>
          <w:bCs/>
          <w:i/>
          <w:iCs/>
          <w:color w:val="3B3838" w:themeColor="background2" w:themeShade="40"/>
          <w:sz w:val="16"/>
          <w:szCs w:val="16"/>
        </w:rPr>
        <w:t xml:space="preserve">Realitní skupina </w:t>
      </w:r>
      <w:proofErr w:type="spellStart"/>
      <w:r w:rsidRPr="002D59C8">
        <w:rPr>
          <w:bCs/>
          <w:i/>
          <w:iCs/>
          <w:color w:val="3B3838" w:themeColor="background2" w:themeShade="40"/>
          <w:sz w:val="16"/>
          <w:szCs w:val="16"/>
        </w:rPr>
        <w:t>Trikaya</w:t>
      </w:r>
      <w:proofErr w:type="spellEnd"/>
      <w:r w:rsidRPr="002D59C8">
        <w:rPr>
          <w:bCs/>
          <w:i/>
          <w:iCs/>
          <w:color w:val="3B3838" w:themeColor="background2" w:themeShade="40"/>
          <w:sz w:val="16"/>
          <w:szCs w:val="16"/>
        </w:rPr>
        <w:t xml:space="preserve"> je skupinou společností podnikajících v oblasti výstavby a investic do nemovitostí v České republice, se specializací na druhé největší město u nás – Brno. Společnost byla založena v roce 2010 a původně se věnovala čistě developmentu rezidenčních budov. V současné době společnost kromě realizací rezidenční výstavby provozuje také brněnské obchodní centrum Futurum, které v roce 2021 úspěšně zrekonstruovala. Cílem společnosti </w:t>
      </w:r>
      <w:proofErr w:type="spellStart"/>
      <w:r w:rsidRPr="002D59C8">
        <w:rPr>
          <w:bCs/>
          <w:i/>
          <w:iCs/>
          <w:color w:val="3B3838" w:themeColor="background2" w:themeShade="40"/>
          <w:sz w:val="16"/>
          <w:szCs w:val="16"/>
        </w:rPr>
        <w:t>Trikaya</w:t>
      </w:r>
      <w:proofErr w:type="spellEnd"/>
      <w:r w:rsidRPr="002D59C8">
        <w:rPr>
          <w:bCs/>
          <w:i/>
          <w:iCs/>
          <w:color w:val="3B3838" w:themeColor="background2" w:themeShade="40"/>
          <w:sz w:val="16"/>
          <w:szCs w:val="16"/>
        </w:rPr>
        <w:t xml:space="preserve"> je budovat inovativní projekty, které nabídnou klientům nejen vysokou kvalitu, ale i standardy běžné v ostatních vyspělých státech světa.</w:t>
      </w:r>
    </w:p>
    <w:p w14:paraId="7AD40483" w14:textId="77777777" w:rsidR="00DA5A08" w:rsidRDefault="00DA5A08" w:rsidP="00893A3B">
      <w:pPr>
        <w:spacing w:after="160"/>
        <w:jc w:val="both"/>
        <w:rPr>
          <w:bCs/>
          <w:color w:val="3B3838" w:themeColor="background2" w:themeShade="40"/>
          <w:sz w:val="20"/>
          <w:szCs w:val="20"/>
        </w:rPr>
      </w:pPr>
    </w:p>
    <w:p w14:paraId="23D3D5D0" w14:textId="6DE4BA82" w:rsidR="00C540E6" w:rsidRDefault="00C66067" w:rsidP="00893A3B">
      <w:pPr>
        <w:spacing w:after="160"/>
        <w:jc w:val="both"/>
        <w:rPr>
          <w:bCs/>
          <w:color w:val="3B3838" w:themeColor="background2" w:themeShade="40"/>
        </w:rPr>
      </w:pPr>
      <w:r w:rsidRPr="00C66067">
        <w:rPr>
          <w:bCs/>
          <w:color w:val="3B3838" w:themeColor="background2" w:themeShade="40"/>
          <w:sz w:val="20"/>
          <w:szCs w:val="20"/>
        </w:rPr>
        <w:t>Kontakt pro média:</w:t>
      </w:r>
      <w:r w:rsidR="006D7C01">
        <w:rPr>
          <w:bCs/>
          <w:color w:val="3B3838" w:themeColor="background2" w:themeShade="40"/>
        </w:rPr>
        <w:t xml:space="preserve"> </w:t>
      </w:r>
    </w:p>
    <w:p w14:paraId="1567C437" w14:textId="52550CAB" w:rsidR="00557D2C" w:rsidRPr="006D7C01" w:rsidRDefault="00C66067" w:rsidP="00C540E6">
      <w:pPr>
        <w:spacing w:after="160"/>
        <w:jc w:val="both"/>
        <w:rPr>
          <w:bCs/>
          <w:color w:val="3B3838" w:themeColor="background2" w:themeShade="40"/>
        </w:rPr>
      </w:pPr>
      <w:proofErr w:type="spellStart"/>
      <w:r w:rsidRPr="00C66067">
        <w:rPr>
          <w:bCs/>
          <w:color w:val="3B3838" w:themeColor="background2" w:themeShade="40"/>
          <w:sz w:val="20"/>
          <w:szCs w:val="20"/>
        </w:rPr>
        <w:t>Tashi</w:t>
      </w:r>
      <w:proofErr w:type="spellEnd"/>
      <w:r w:rsidRPr="00C66067">
        <w:rPr>
          <w:bCs/>
          <w:color w:val="3B3838" w:themeColor="background2" w:themeShade="40"/>
          <w:sz w:val="20"/>
          <w:szCs w:val="20"/>
        </w:rPr>
        <w:t xml:space="preserve"> </w:t>
      </w:r>
      <w:proofErr w:type="spellStart"/>
      <w:r w:rsidRPr="00C66067">
        <w:rPr>
          <w:bCs/>
          <w:color w:val="3B3838" w:themeColor="background2" w:themeShade="40"/>
          <w:sz w:val="20"/>
          <w:szCs w:val="20"/>
        </w:rPr>
        <w:t>Erml</w:t>
      </w:r>
      <w:proofErr w:type="spellEnd"/>
      <w:r w:rsidRPr="00C66067">
        <w:rPr>
          <w:bCs/>
          <w:color w:val="3B3838" w:themeColor="background2" w:themeShade="40"/>
          <w:sz w:val="20"/>
          <w:szCs w:val="20"/>
        </w:rPr>
        <w:t xml:space="preserve">, </w:t>
      </w:r>
      <w:proofErr w:type="spellStart"/>
      <w:r w:rsidRPr="00C66067">
        <w:rPr>
          <w:bCs/>
          <w:color w:val="3B3838" w:themeColor="background2" w:themeShade="40"/>
          <w:sz w:val="20"/>
          <w:szCs w:val="20"/>
        </w:rPr>
        <w:t>Ewing</w:t>
      </w:r>
      <w:proofErr w:type="spellEnd"/>
      <w:r w:rsidRPr="00C66067">
        <w:rPr>
          <w:bCs/>
          <w:color w:val="3B3838" w:themeColor="background2" w:themeShade="40"/>
          <w:sz w:val="20"/>
          <w:szCs w:val="20"/>
        </w:rPr>
        <w:t>, erml@ewing.cz; +420 775 106 886</w:t>
      </w:r>
    </w:p>
    <w:sectPr w:rsidR="00557D2C" w:rsidRPr="006D7C01" w:rsidSect="005C40E3">
      <w:headerReference w:type="default" r:id="rId8"/>
      <w:footerReference w:type="default" r:id="rId9"/>
      <w:pgSz w:w="11906" w:h="16838" w:code="9"/>
      <w:pgMar w:top="2694" w:right="1418" w:bottom="1985" w:left="1418" w:header="175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2D3A3" w14:textId="77777777" w:rsidR="00B57941" w:rsidRDefault="00B57941" w:rsidP="00FF7F2C">
      <w:pPr>
        <w:spacing w:line="240" w:lineRule="auto"/>
      </w:pPr>
      <w:r>
        <w:separator/>
      </w:r>
    </w:p>
  </w:endnote>
  <w:endnote w:type="continuationSeparator" w:id="0">
    <w:p w14:paraId="483F870A" w14:textId="77777777" w:rsidR="00B57941" w:rsidRDefault="00B57941" w:rsidP="00FF7F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GillSansMTPro-Book">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D18B4" w14:textId="6A639F6C" w:rsidR="000802DB" w:rsidRPr="000802DB" w:rsidRDefault="000802DB" w:rsidP="000802DB">
    <w:pPr>
      <w:tabs>
        <w:tab w:val="center" w:pos="4536"/>
        <w:tab w:val="right" w:pos="9072"/>
      </w:tabs>
      <w:spacing w:line="240" w:lineRule="auto"/>
      <w:rPr>
        <w:rFonts w:ascii="GillSansMTPro-Book" w:eastAsia="Calibri" w:hAnsi="GillSansMTPro-Book" w:cs="Times New Roman"/>
        <w:color w:val="000000"/>
        <w:sz w:val="20"/>
        <w:szCs w:val="20"/>
        <w:shd w:val="clear" w:color="auto" w:fill="FFFFFF"/>
      </w:rPr>
    </w:pPr>
    <w:proofErr w:type="spellStart"/>
    <w:r w:rsidRPr="000802DB">
      <w:rPr>
        <w:rFonts w:ascii="GillSansMTPro-Book" w:eastAsia="Calibri" w:hAnsi="GillSansMTPro-Book" w:cs="Times New Roman"/>
        <w:color w:val="000000"/>
        <w:sz w:val="20"/>
        <w:szCs w:val="20"/>
        <w:shd w:val="clear" w:color="auto" w:fill="FFFFFF"/>
      </w:rPr>
      <w:t>Trikaya</w:t>
    </w:r>
    <w:proofErr w:type="spellEnd"/>
    <w:r w:rsidRPr="000802DB">
      <w:rPr>
        <w:rFonts w:ascii="GillSansMTPro-Book" w:eastAsia="Calibri" w:hAnsi="GillSansMTPro-Book" w:cs="Times New Roman"/>
        <w:color w:val="000000"/>
        <w:sz w:val="20"/>
        <w:szCs w:val="20"/>
        <w:shd w:val="clear" w:color="auto" w:fill="FFFFFF"/>
      </w:rPr>
      <w:t xml:space="preserve"> </w:t>
    </w:r>
    <w:proofErr w:type="spellStart"/>
    <w:r w:rsidRPr="000802DB">
      <w:rPr>
        <w:rFonts w:ascii="GillSansMTPro-Book" w:eastAsia="Calibri" w:hAnsi="GillSansMTPro-Book" w:cs="Times New Roman"/>
        <w:color w:val="000000"/>
        <w:sz w:val="20"/>
        <w:szCs w:val="20"/>
        <w:shd w:val="clear" w:color="auto" w:fill="FFFFFF"/>
      </w:rPr>
      <w:t>Asset</w:t>
    </w:r>
    <w:proofErr w:type="spellEnd"/>
    <w:r w:rsidRPr="000802DB">
      <w:rPr>
        <w:rFonts w:ascii="GillSansMTPro-Book" w:eastAsia="Calibri" w:hAnsi="GillSansMTPro-Book" w:cs="Times New Roman"/>
        <w:color w:val="000000"/>
        <w:sz w:val="20"/>
        <w:szCs w:val="20"/>
        <w:shd w:val="clear" w:color="auto" w:fill="FFFFFF"/>
      </w:rPr>
      <w:t xml:space="preserve"> Management a.s.</w:t>
    </w:r>
    <w:r w:rsidRPr="000802DB">
      <w:rPr>
        <w:rFonts w:ascii="Calibri" w:eastAsia="Calibri" w:hAnsi="Calibri" w:cs="Times New Roman"/>
        <w:sz w:val="20"/>
        <w:szCs w:val="20"/>
      </w:rPr>
      <w:ptab w:relativeTo="margin" w:alignment="center" w:leader="none"/>
    </w:r>
    <w:r w:rsidRPr="000802DB">
      <w:rPr>
        <w:rFonts w:ascii="Calibri" w:eastAsia="Calibri" w:hAnsi="Calibri" w:cs="Times New Roman"/>
        <w:sz w:val="20"/>
        <w:szCs w:val="20"/>
      </w:rPr>
      <w:t xml:space="preserve">  </w:t>
    </w:r>
    <w:r w:rsidRPr="000802DB">
      <w:rPr>
        <w:rFonts w:ascii="GillSansMTPro-Book" w:eastAsia="Calibri" w:hAnsi="GillSansMTPro-Book" w:cs="Times New Roman"/>
        <w:color w:val="000000"/>
        <w:sz w:val="20"/>
        <w:szCs w:val="20"/>
        <w:shd w:val="clear" w:color="auto" w:fill="FFFFFF"/>
      </w:rPr>
      <w:t>Šumavská 519/35, budova C</w:t>
    </w:r>
    <w:r w:rsidR="006265B1">
      <w:rPr>
        <w:rFonts w:ascii="GillSansMTPro-Book" w:eastAsia="Calibri" w:hAnsi="GillSansMTPro-Book" w:cs="Times New Roman"/>
        <w:color w:val="000000"/>
        <w:sz w:val="20"/>
        <w:szCs w:val="20"/>
        <w:shd w:val="clear" w:color="auto" w:fill="FFFFFF"/>
      </w:rPr>
      <w:tab/>
    </w:r>
    <w:hyperlink r:id="rId1" w:history="1">
      <w:r w:rsidRPr="000802DB">
        <w:rPr>
          <w:rFonts w:ascii="GillSansMTPro-Book" w:eastAsia="Calibri" w:hAnsi="GillSansMTPro-Book" w:cs="Times New Roman"/>
          <w:color w:val="0563C1"/>
          <w:sz w:val="20"/>
          <w:szCs w:val="20"/>
          <w:u w:val="single"/>
          <w:shd w:val="clear" w:color="auto" w:fill="FFFFFF"/>
        </w:rPr>
        <w:t>www.trikaya.cz</w:t>
      </w:r>
    </w:hyperlink>
  </w:p>
  <w:p w14:paraId="21D97055" w14:textId="36948F58" w:rsidR="000802DB" w:rsidRPr="000802DB" w:rsidRDefault="000802DB" w:rsidP="000802DB">
    <w:pPr>
      <w:tabs>
        <w:tab w:val="center" w:pos="4536"/>
        <w:tab w:val="right" w:pos="9072"/>
      </w:tabs>
      <w:spacing w:line="240" w:lineRule="auto"/>
      <w:rPr>
        <w:rFonts w:ascii="GillSansMTPro-Book" w:eastAsia="Calibri" w:hAnsi="GillSansMTPro-Book" w:cs="Times New Roman"/>
        <w:color w:val="000000"/>
        <w:sz w:val="20"/>
        <w:szCs w:val="20"/>
        <w:shd w:val="clear" w:color="auto" w:fill="FFFFFF"/>
      </w:rPr>
    </w:pPr>
    <w:r w:rsidRPr="000802DB">
      <w:rPr>
        <w:rFonts w:ascii="GillSansMTPro-Book" w:eastAsia="Calibri" w:hAnsi="GillSansMTPro-Book" w:cs="Times New Roman"/>
        <w:color w:val="000000"/>
        <w:sz w:val="20"/>
        <w:szCs w:val="20"/>
        <w:shd w:val="clear" w:color="auto" w:fill="FFFFFF"/>
      </w:rPr>
      <w:tab/>
      <w:t>602 00 Brno</w:t>
    </w:r>
  </w:p>
  <w:p w14:paraId="15783A8C" w14:textId="77777777" w:rsidR="00090151" w:rsidRPr="00BC6A3E" w:rsidRDefault="00090151">
    <w:pPr>
      <w:pStyle w:val="Zpat"/>
      <w:rPr>
        <w:sz w:val="36"/>
      </w:rPr>
    </w:pPr>
  </w:p>
  <w:p w14:paraId="406AD05F" w14:textId="7505AF7D" w:rsidR="00090151" w:rsidRDefault="00090151" w:rsidP="009E2C21">
    <w:pPr>
      <w:pStyle w:val="Zpat"/>
    </w:pPr>
    <w:r>
      <w:fldChar w:fldCharType="begin"/>
    </w:r>
    <w:r>
      <w:instrText xml:space="preserve"> PAGE   \* MERGEFORMAT </w:instrText>
    </w:r>
    <w:r>
      <w:fldChar w:fldCharType="separate"/>
    </w:r>
    <w:r w:rsidR="00647901">
      <w:rPr>
        <w:noProof/>
      </w:rPr>
      <w:t>9</w:t>
    </w:r>
    <w:r>
      <w:fldChar w:fldCharType="end"/>
    </w:r>
    <w:r>
      <w:t>/</w:t>
    </w:r>
    <w:r>
      <w:rPr>
        <w:noProof/>
      </w:rPr>
      <w:fldChar w:fldCharType="begin"/>
    </w:r>
    <w:r>
      <w:rPr>
        <w:noProof/>
      </w:rPr>
      <w:instrText xml:space="preserve"> NUMPAGES   \* MERGEFORMAT </w:instrText>
    </w:r>
    <w:r>
      <w:rPr>
        <w:noProof/>
      </w:rPr>
      <w:fldChar w:fldCharType="separate"/>
    </w:r>
    <w:r w:rsidR="00647901">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F29D7" w14:textId="77777777" w:rsidR="00B57941" w:rsidRDefault="00B57941" w:rsidP="00FF7F2C">
      <w:pPr>
        <w:spacing w:line="240" w:lineRule="auto"/>
      </w:pPr>
      <w:r>
        <w:separator/>
      </w:r>
    </w:p>
  </w:footnote>
  <w:footnote w:type="continuationSeparator" w:id="0">
    <w:p w14:paraId="5A844C0B" w14:textId="77777777" w:rsidR="00B57941" w:rsidRDefault="00B57941" w:rsidP="00FF7F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B6CA3" w14:textId="0BB7993A" w:rsidR="00090151" w:rsidRDefault="00090151">
    <w:pPr>
      <w:pStyle w:val="Zhlav"/>
    </w:pPr>
    <w:r>
      <w:rPr>
        <w:noProof/>
        <w:lang w:eastAsia="cs-CZ"/>
      </w:rPr>
      <w:drawing>
        <wp:anchor distT="0" distB="0" distL="114300" distR="114300" simplePos="0" relativeHeight="251662336" behindDoc="1" locked="1" layoutInCell="1" allowOverlap="1" wp14:anchorId="4F3338AC" wp14:editId="7B11F7DF">
          <wp:simplePos x="0" y="0"/>
          <wp:positionH relativeFrom="page">
            <wp:posOffset>895985</wp:posOffset>
          </wp:positionH>
          <wp:positionV relativeFrom="page">
            <wp:posOffset>897890</wp:posOffset>
          </wp:positionV>
          <wp:extent cx="309245" cy="370840"/>
          <wp:effectExtent l="0" t="0" r="0" b="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trikaya_T.wmf"/>
                  <pic:cNvPicPr/>
                </pic:nvPicPr>
                <pic:blipFill>
                  <a:blip r:embed="rId1">
                    <a:extLst>
                      <a:ext uri="{28A0092B-C50C-407E-A947-70E740481C1C}">
                        <a14:useLocalDpi xmlns:a14="http://schemas.microsoft.com/office/drawing/2010/main" val="0"/>
                      </a:ext>
                    </a:extLst>
                  </a:blip>
                  <a:stretch>
                    <a:fillRect/>
                  </a:stretch>
                </pic:blipFill>
                <pic:spPr>
                  <a:xfrm>
                    <a:off x="0" y="0"/>
                    <a:ext cx="309245" cy="370840"/>
                  </a:xfrm>
                  <a:prstGeom prst="rect">
                    <a:avLst/>
                  </a:prstGeom>
                </pic:spPr>
              </pic:pic>
            </a:graphicData>
          </a:graphic>
          <wp14:sizeRelH relativeFrom="margin">
            <wp14:pctWidth>0</wp14:pctWidth>
          </wp14:sizeRelH>
          <wp14:sizeRelV relativeFrom="margin">
            <wp14:pctHeight>0</wp14:pctHeight>
          </wp14:sizeRelV>
        </wp:anchor>
      </w:drawing>
    </w:r>
    <w:r w:rsidR="002F3C0E">
      <w:t>tisková zpráva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60558D"/>
    <w:multiLevelType w:val="hybridMultilevel"/>
    <w:tmpl w:val="74A687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C830075"/>
    <w:multiLevelType w:val="hybridMultilevel"/>
    <w:tmpl w:val="FDC62414"/>
    <w:lvl w:ilvl="0" w:tplc="3E828E0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49152876">
    <w:abstractNumId w:val="1"/>
  </w:num>
  <w:num w:numId="2" w16cid:durableId="1164781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drawingGridHorizontalSpacing w:val="181"/>
  <w:drawingGridVerticalSpacing w:val="181"/>
  <w:doNotUseMarginsForDrawingGridOrigin/>
  <w:drawingGridHorizontalOrigin w:val="1418"/>
  <w:drawingGridVerticalOrigin w:val="141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1F0"/>
    <w:rsid w:val="00001381"/>
    <w:rsid w:val="0000562D"/>
    <w:rsid w:val="000073FD"/>
    <w:rsid w:val="000122B1"/>
    <w:rsid w:val="00017795"/>
    <w:rsid w:val="000305C6"/>
    <w:rsid w:val="00030A0F"/>
    <w:rsid w:val="000377BC"/>
    <w:rsid w:val="00041778"/>
    <w:rsid w:val="00042EAF"/>
    <w:rsid w:val="000469B4"/>
    <w:rsid w:val="00046B1E"/>
    <w:rsid w:val="000517EF"/>
    <w:rsid w:val="00051BF3"/>
    <w:rsid w:val="000552BF"/>
    <w:rsid w:val="00063625"/>
    <w:rsid w:val="000778D3"/>
    <w:rsid w:val="000802DB"/>
    <w:rsid w:val="00081760"/>
    <w:rsid w:val="000848FF"/>
    <w:rsid w:val="00090151"/>
    <w:rsid w:val="00090537"/>
    <w:rsid w:val="00090FC2"/>
    <w:rsid w:val="00093C69"/>
    <w:rsid w:val="000974E3"/>
    <w:rsid w:val="000977B8"/>
    <w:rsid w:val="000A15A6"/>
    <w:rsid w:val="000A161B"/>
    <w:rsid w:val="000A2A3F"/>
    <w:rsid w:val="000A4C27"/>
    <w:rsid w:val="000A5ECB"/>
    <w:rsid w:val="000B5A02"/>
    <w:rsid w:val="000C47BD"/>
    <w:rsid w:val="000C7172"/>
    <w:rsid w:val="000D312C"/>
    <w:rsid w:val="000D3699"/>
    <w:rsid w:val="000D6CF7"/>
    <w:rsid w:val="000D762C"/>
    <w:rsid w:val="000D7CD7"/>
    <w:rsid w:val="000E67BD"/>
    <w:rsid w:val="000E7725"/>
    <w:rsid w:val="000F25A2"/>
    <w:rsid w:val="000F26E2"/>
    <w:rsid w:val="00100F1F"/>
    <w:rsid w:val="00112DDD"/>
    <w:rsid w:val="00117DC3"/>
    <w:rsid w:val="00124153"/>
    <w:rsid w:val="00125BF0"/>
    <w:rsid w:val="00132AA9"/>
    <w:rsid w:val="00136B3F"/>
    <w:rsid w:val="00137506"/>
    <w:rsid w:val="00142775"/>
    <w:rsid w:val="00146925"/>
    <w:rsid w:val="00151ACE"/>
    <w:rsid w:val="0015407D"/>
    <w:rsid w:val="00165522"/>
    <w:rsid w:val="001655CF"/>
    <w:rsid w:val="00174816"/>
    <w:rsid w:val="00181D3D"/>
    <w:rsid w:val="00196BF8"/>
    <w:rsid w:val="001A1CD1"/>
    <w:rsid w:val="001B5C9B"/>
    <w:rsid w:val="001C294D"/>
    <w:rsid w:val="001D09BF"/>
    <w:rsid w:val="001D1CFF"/>
    <w:rsid w:val="001D47F8"/>
    <w:rsid w:val="001D68C0"/>
    <w:rsid w:val="001E2E64"/>
    <w:rsid w:val="001E7FF1"/>
    <w:rsid w:val="001F222C"/>
    <w:rsid w:val="001F57FC"/>
    <w:rsid w:val="001F7E43"/>
    <w:rsid w:val="002037EF"/>
    <w:rsid w:val="00215346"/>
    <w:rsid w:val="00220734"/>
    <w:rsid w:val="002253EB"/>
    <w:rsid w:val="00226407"/>
    <w:rsid w:val="00226843"/>
    <w:rsid w:val="0023217D"/>
    <w:rsid w:val="0023252E"/>
    <w:rsid w:val="00232861"/>
    <w:rsid w:val="00236CD0"/>
    <w:rsid w:val="00236EEB"/>
    <w:rsid w:val="0023703C"/>
    <w:rsid w:val="0024171D"/>
    <w:rsid w:val="0024186D"/>
    <w:rsid w:val="00243FD7"/>
    <w:rsid w:val="002515A9"/>
    <w:rsid w:val="00252E04"/>
    <w:rsid w:val="00253008"/>
    <w:rsid w:val="0025337F"/>
    <w:rsid w:val="0026383B"/>
    <w:rsid w:val="00263C67"/>
    <w:rsid w:val="00265B32"/>
    <w:rsid w:val="00271261"/>
    <w:rsid w:val="00275C51"/>
    <w:rsid w:val="00281EE7"/>
    <w:rsid w:val="00284095"/>
    <w:rsid w:val="00295320"/>
    <w:rsid w:val="002A070A"/>
    <w:rsid w:val="002A2D0D"/>
    <w:rsid w:val="002A5AEF"/>
    <w:rsid w:val="002B1D7D"/>
    <w:rsid w:val="002B5B12"/>
    <w:rsid w:val="002C0A94"/>
    <w:rsid w:val="002C4DC3"/>
    <w:rsid w:val="002D252C"/>
    <w:rsid w:val="002D59C8"/>
    <w:rsid w:val="002D763B"/>
    <w:rsid w:val="002E0CC4"/>
    <w:rsid w:val="002E4F8D"/>
    <w:rsid w:val="002E556E"/>
    <w:rsid w:val="002E594A"/>
    <w:rsid w:val="002F27AC"/>
    <w:rsid w:val="002F3C0E"/>
    <w:rsid w:val="002F46DA"/>
    <w:rsid w:val="0030103F"/>
    <w:rsid w:val="00310548"/>
    <w:rsid w:val="00313B63"/>
    <w:rsid w:val="003158F8"/>
    <w:rsid w:val="00321109"/>
    <w:rsid w:val="00322D68"/>
    <w:rsid w:val="0032503F"/>
    <w:rsid w:val="00333F51"/>
    <w:rsid w:val="00335436"/>
    <w:rsid w:val="003421B5"/>
    <w:rsid w:val="00344119"/>
    <w:rsid w:val="003501B1"/>
    <w:rsid w:val="003502AF"/>
    <w:rsid w:val="0035033A"/>
    <w:rsid w:val="003564F1"/>
    <w:rsid w:val="00361D2D"/>
    <w:rsid w:val="0036294B"/>
    <w:rsid w:val="00371EDE"/>
    <w:rsid w:val="0037230C"/>
    <w:rsid w:val="003736AD"/>
    <w:rsid w:val="00376FD3"/>
    <w:rsid w:val="00384519"/>
    <w:rsid w:val="00384E89"/>
    <w:rsid w:val="00387C21"/>
    <w:rsid w:val="003912C6"/>
    <w:rsid w:val="003A1138"/>
    <w:rsid w:val="003A1C9F"/>
    <w:rsid w:val="003A3A60"/>
    <w:rsid w:val="003B2494"/>
    <w:rsid w:val="003B41EB"/>
    <w:rsid w:val="003B56E9"/>
    <w:rsid w:val="003D016A"/>
    <w:rsid w:val="003D300F"/>
    <w:rsid w:val="003D68F0"/>
    <w:rsid w:val="003E1964"/>
    <w:rsid w:val="003E4E43"/>
    <w:rsid w:val="003F22E7"/>
    <w:rsid w:val="003F2E8E"/>
    <w:rsid w:val="003F3907"/>
    <w:rsid w:val="003F41BE"/>
    <w:rsid w:val="003F5A03"/>
    <w:rsid w:val="00404240"/>
    <w:rsid w:val="00417C32"/>
    <w:rsid w:val="0042580E"/>
    <w:rsid w:val="00431455"/>
    <w:rsid w:val="00433B6F"/>
    <w:rsid w:val="00434257"/>
    <w:rsid w:val="00434692"/>
    <w:rsid w:val="0044362E"/>
    <w:rsid w:val="00450609"/>
    <w:rsid w:val="00470263"/>
    <w:rsid w:val="00471086"/>
    <w:rsid w:val="00474EBA"/>
    <w:rsid w:val="00482008"/>
    <w:rsid w:val="00490DCA"/>
    <w:rsid w:val="00491A6E"/>
    <w:rsid w:val="0049233C"/>
    <w:rsid w:val="00493A8D"/>
    <w:rsid w:val="0049675E"/>
    <w:rsid w:val="004A0637"/>
    <w:rsid w:val="004A1428"/>
    <w:rsid w:val="004A37E3"/>
    <w:rsid w:val="004A3F47"/>
    <w:rsid w:val="004A647E"/>
    <w:rsid w:val="004B0F41"/>
    <w:rsid w:val="004B460E"/>
    <w:rsid w:val="004D18D8"/>
    <w:rsid w:val="004D3EE5"/>
    <w:rsid w:val="004D6FF7"/>
    <w:rsid w:val="004D78C5"/>
    <w:rsid w:val="004E18C3"/>
    <w:rsid w:val="004F1C11"/>
    <w:rsid w:val="004F56FA"/>
    <w:rsid w:val="005015A6"/>
    <w:rsid w:val="005042B9"/>
    <w:rsid w:val="005043C5"/>
    <w:rsid w:val="005130F6"/>
    <w:rsid w:val="00513970"/>
    <w:rsid w:val="00515015"/>
    <w:rsid w:val="005153D2"/>
    <w:rsid w:val="00515BB7"/>
    <w:rsid w:val="0051688C"/>
    <w:rsid w:val="00517ED3"/>
    <w:rsid w:val="0052228D"/>
    <w:rsid w:val="00524F98"/>
    <w:rsid w:val="00525C02"/>
    <w:rsid w:val="00533161"/>
    <w:rsid w:val="00535A8D"/>
    <w:rsid w:val="00542897"/>
    <w:rsid w:val="00545129"/>
    <w:rsid w:val="00551481"/>
    <w:rsid w:val="0055349E"/>
    <w:rsid w:val="00557D2C"/>
    <w:rsid w:val="0056462A"/>
    <w:rsid w:val="00571486"/>
    <w:rsid w:val="005721BD"/>
    <w:rsid w:val="005726B5"/>
    <w:rsid w:val="00573A8E"/>
    <w:rsid w:val="0057713B"/>
    <w:rsid w:val="005774AA"/>
    <w:rsid w:val="00581CE3"/>
    <w:rsid w:val="005842EC"/>
    <w:rsid w:val="005857C6"/>
    <w:rsid w:val="00586F83"/>
    <w:rsid w:val="00593C10"/>
    <w:rsid w:val="00595E81"/>
    <w:rsid w:val="005A353B"/>
    <w:rsid w:val="005A4F23"/>
    <w:rsid w:val="005A61D6"/>
    <w:rsid w:val="005A660A"/>
    <w:rsid w:val="005B222D"/>
    <w:rsid w:val="005B3AB0"/>
    <w:rsid w:val="005B416B"/>
    <w:rsid w:val="005B597F"/>
    <w:rsid w:val="005B6D46"/>
    <w:rsid w:val="005B6E19"/>
    <w:rsid w:val="005C1CE5"/>
    <w:rsid w:val="005C40E3"/>
    <w:rsid w:val="005C4DE7"/>
    <w:rsid w:val="005C5472"/>
    <w:rsid w:val="005D6872"/>
    <w:rsid w:val="005E0142"/>
    <w:rsid w:val="005E0A5A"/>
    <w:rsid w:val="005E36F7"/>
    <w:rsid w:val="005E3E0C"/>
    <w:rsid w:val="005E5F60"/>
    <w:rsid w:val="005F0A0C"/>
    <w:rsid w:val="005F1289"/>
    <w:rsid w:val="00610442"/>
    <w:rsid w:val="00610BFD"/>
    <w:rsid w:val="00623168"/>
    <w:rsid w:val="00625CC1"/>
    <w:rsid w:val="006265B1"/>
    <w:rsid w:val="0062660E"/>
    <w:rsid w:val="0063583B"/>
    <w:rsid w:val="006379BB"/>
    <w:rsid w:val="00642798"/>
    <w:rsid w:val="00643BE8"/>
    <w:rsid w:val="00644099"/>
    <w:rsid w:val="00644A29"/>
    <w:rsid w:val="00647901"/>
    <w:rsid w:val="00650EBE"/>
    <w:rsid w:val="006570B0"/>
    <w:rsid w:val="00671263"/>
    <w:rsid w:val="0067294A"/>
    <w:rsid w:val="00675CA0"/>
    <w:rsid w:val="00681AA3"/>
    <w:rsid w:val="00684D6B"/>
    <w:rsid w:val="006875EB"/>
    <w:rsid w:val="0069165B"/>
    <w:rsid w:val="0069342D"/>
    <w:rsid w:val="00694620"/>
    <w:rsid w:val="006A5A96"/>
    <w:rsid w:val="006A649F"/>
    <w:rsid w:val="006A6C0F"/>
    <w:rsid w:val="006B4266"/>
    <w:rsid w:val="006B48FF"/>
    <w:rsid w:val="006B6EBB"/>
    <w:rsid w:val="006C1365"/>
    <w:rsid w:val="006C272B"/>
    <w:rsid w:val="006C3E2A"/>
    <w:rsid w:val="006C67FE"/>
    <w:rsid w:val="006D2C88"/>
    <w:rsid w:val="006D7057"/>
    <w:rsid w:val="006D712F"/>
    <w:rsid w:val="006D7C01"/>
    <w:rsid w:val="006E68D2"/>
    <w:rsid w:val="006F31AF"/>
    <w:rsid w:val="006F68A0"/>
    <w:rsid w:val="006F7D63"/>
    <w:rsid w:val="006F7FCA"/>
    <w:rsid w:val="00701665"/>
    <w:rsid w:val="00704422"/>
    <w:rsid w:val="00707816"/>
    <w:rsid w:val="007130D7"/>
    <w:rsid w:val="00713B0C"/>
    <w:rsid w:val="00722F2F"/>
    <w:rsid w:val="00723C8D"/>
    <w:rsid w:val="007279EF"/>
    <w:rsid w:val="0073762F"/>
    <w:rsid w:val="0074370A"/>
    <w:rsid w:val="0074674D"/>
    <w:rsid w:val="0075030B"/>
    <w:rsid w:val="00752232"/>
    <w:rsid w:val="00763059"/>
    <w:rsid w:val="00764A54"/>
    <w:rsid w:val="00765EDC"/>
    <w:rsid w:val="0076754F"/>
    <w:rsid w:val="007748DF"/>
    <w:rsid w:val="007757A7"/>
    <w:rsid w:val="00777E02"/>
    <w:rsid w:val="00780334"/>
    <w:rsid w:val="00784A27"/>
    <w:rsid w:val="00785A9F"/>
    <w:rsid w:val="00786875"/>
    <w:rsid w:val="00792CC6"/>
    <w:rsid w:val="00795B20"/>
    <w:rsid w:val="0079652E"/>
    <w:rsid w:val="007A118A"/>
    <w:rsid w:val="007A3DFC"/>
    <w:rsid w:val="007B5B5F"/>
    <w:rsid w:val="007B7A6B"/>
    <w:rsid w:val="007B7DB7"/>
    <w:rsid w:val="007C1863"/>
    <w:rsid w:val="007C1FB8"/>
    <w:rsid w:val="007C41AB"/>
    <w:rsid w:val="007C5A55"/>
    <w:rsid w:val="007C70E3"/>
    <w:rsid w:val="007C7B14"/>
    <w:rsid w:val="007C7EE1"/>
    <w:rsid w:val="007D01CD"/>
    <w:rsid w:val="007D2238"/>
    <w:rsid w:val="007D602A"/>
    <w:rsid w:val="007D6A80"/>
    <w:rsid w:val="007E011F"/>
    <w:rsid w:val="007E2194"/>
    <w:rsid w:val="007E463D"/>
    <w:rsid w:val="007E5AC8"/>
    <w:rsid w:val="007E5E8E"/>
    <w:rsid w:val="007F1306"/>
    <w:rsid w:val="007F271D"/>
    <w:rsid w:val="007F32F4"/>
    <w:rsid w:val="008054AB"/>
    <w:rsid w:val="0080632B"/>
    <w:rsid w:val="00807EAE"/>
    <w:rsid w:val="008223B1"/>
    <w:rsid w:val="00823384"/>
    <w:rsid w:val="00830F9B"/>
    <w:rsid w:val="00836C6B"/>
    <w:rsid w:val="0083798B"/>
    <w:rsid w:val="00837AE2"/>
    <w:rsid w:val="008405F5"/>
    <w:rsid w:val="0084307B"/>
    <w:rsid w:val="00843116"/>
    <w:rsid w:val="008522B4"/>
    <w:rsid w:val="00852C42"/>
    <w:rsid w:val="0085461C"/>
    <w:rsid w:val="008569F3"/>
    <w:rsid w:val="0086578F"/>
    <w:rsid w:val="0086681C"/>
    <w:rsid w:val="00881668"/>
    <w:rsid w:val="00885782"/>
    <w:rsid w:val="00887457"/>
    <w:rsid w:val="00893A3B"/>
    <w:rsid w:val="00897007"/>
    <w:rsid w:val="008A5C43"/>
    <w:rsid w:val="008B499F"/>
    <w:rsid w:val="008B683C"/>
    <w:rsid w:val="008D6746"/>
    <w:rsid w:val="008D675D"/>
    <w:rsid w:val="008E23D8"/>
    <w:rsid w:val="008E5571"/>
    <w:rsid w:val="008F4DE2"/>
    <w:rsid w:val="00902359"/>
    <w:rsid w:val="00904773"/>
    <w:rsid w:val="009075B9"/>
    <w:rsid w:val="00912C86"/>
    <w:rsid w:val="00913ED8"/>
    <w:rsid w:val="0092194B"/>
    <w:rsid w:val="00926A1C"/>
    <w:rsid w:val="009325CD"/>
    <w:rsid w:val="009346CC"/>
    <w:rsid w:val="00936BFC"/>
    <w:rsid w:val="00947865"/>
    <w:rsid w:val="00951F1B"/>
    <w:rsid w:val="0095361D"/>
    <w:rsid w:val="0095473F"/>
    <w:rsid w:val="00956172"/>
    <w:rsid w:val="009563F9"/>
    <w:rsid w:val="00962AE7"/>
    <w:rsid w:val="00962BFB"/>
    <w:rsid w:val="0096614D"/>
    <w:rsid w:val="00971DD8"/>
    <w:rsid w:val="00972DBB"/>
    <w:rsid w:val="00974CDA"/>
    <w:rsid w:val="009825A7"/>
    <w:rsid w:val="00990AC8"/>
    <w:rsid w:val="0099159C"/>
    <w:rsid w:val="009A141B"/>
    <w:rsid w:val="009A297E"/>
    <w:rsid w:val="009A4A0C"/>
    <w:rsid w:val="009A4F9A"/>
    <w:rsid w:val="009B0639"/>
    <w:rsid w:val="009B3A7B"/>
    <w:rsid w:val="009B63E4"/>
    <w:rsid w:val="009C0E8B"/>
    <w:rsid w:val="009C4487"/>
    <w:rsid w:val="009C6810"/>
    <w:rsid w:val="009D25D9"/>
    <w:rsid w:val="009D3201"/>
    <w:rsid w:val="009D61F6"/>
    <w:rsid w:val="009D765F"/>
    <w:rsid w:val="009E128B"/>
    <w:rsid w:val="009E143E"/>
    <w:rsid w:val="009E173E"/>
    <w:rsid w:val="009E2C21"/>
    <w:rsid w:val="009F1457"/>
    <w:rsid w:val="009F7B8E"/>
    <w:rsid w:val="00A006C4"/>
    <w:rsid w:val="00A0523E"/>
    <w:rsid w:val="00A06D29"/>
    <w:rsid w:val="00A0744E"/>
    <w:rsid w:val="00A108AF"/>
    <w:rsid w:val="00A143DF"/>
    <w:rsid w:val="00A215BA"/>
    <w:rsid w:val="00A2524A"/>
    <w:rsid w:val="00A25A2F"/>
    <w:rsid w:val="00A32642"/>
    <w:rsid w:val="00A330BB"/>
    <w:rsid w:val="00A35E67"/>
    <w:rsid w:val="00A3709A"/>
    <w:rsid w:val="00A37F4C"/>
    <w:rsid w:val="00A40F22"/>
    <w:rsid w:val="00A42394"/>
    <w:rsid w:val="00A4288D"/>
    <w:rsid w:val="00A505C1"/>
    <w:rsid w:val="00A50B04"/>
    <w:rsid w:val="00A53A70"/>
    <w:rsid w:val="00A54910"/>
    <w:rsid w:val="00A5627E"/>
    <w:rsid w:val="00A63558"/>
    <w:rsid w:val="00A643A0"/>
    <w:rsid w:val="00A73D8D"/>
    <w:rsid w:val="00A76F2E"/>
    <w:rsid w:val="00A82589"/>
    <w:rsid w:val="00A93C98"/>
    <w:rsid w:val="00A9413F"/>
    <w:rsid w:val="00A96FBA"/>
    <w:rsid w:val="00AA3B21"/>
    <w:rsid w:val="00AB2E95"/>
    <w:rsid w:val="00AB3F03"/>
    <w:rsid w:val="00AB7C7B"/>
    <w:rsid w:val="00AC0A8D"/>
    <w:rsid w:val="00AC10FB"/>
    <w:rsid w:val="00AD060E"/>
    <w:rsid w:val="00AD30C1"/>
    <w:rsid w:val="00AD35B7"/>
    <w:rsid w:val="00AD4A78"/>
    <w:rsid w:val="00AD5CBA"/>
    <w:rsid w:val="00AD7932"/>
    <w:rsid w:val="00AE133E"/>
    <w:rsid w:val="00AE167A"/>
    <w:rsid w:val="00AE309D"/>
    <w:rsid w:val="00AE4BBA"/>
    <w:rsid w:val="00AF7C4A"/>
    <w:rsid w:val="00B03F53"/>
    <w:rsid w:val="00B07ACC"/>
    <w:rsid w:val="00B14C24"/>
    <w:rsid w:val="00B176BB"/>
    <w:rsid w:val="00B26098"/>
    <w:rsid w:val="00B3561E"/>
    <w:rsid w:val="00B3601F"/>
    <w:rsid w:val="00B36581"/>
    <w:rsid w:val="00B36900"/>
    <w:rsid w:val="00B4613F"/>
    <w:rsid w:val="00B509C4"/>
    <w:rsid w:val="00B54944"/>
    <w:rsid w:val="00B57941"/>
    <w:rsid w:val="00B618EA"/>
    <w:rsid w:val="00B638F6"/>
    <w:rsid w:val="00B70514"/>
    <w:rsid w:val="00B721C3"/>
    <w:rsid w:val="00B8049B"/>
    <w:rsid w:val="00B82F56"/>
    <w:rsid w:val="00B830E3"/>
    <w:rsid w:val="00B83A5F"/>
    <w:rsid w:val="00B86A40"/>
    <w:rsid w:val="00B90754"/>
    <w:rsid w:val="00B94975"/>
    <w:rsid w:val="00BA03D6"/>
    <w:rsid w:val="00BA3328"/>
    <w:rsid w:val="00BA7E38"/>
    <w:rsid w:val="00BB1018"/>
    <w:rsid w:val="00BB1ED7"/>
    <w:rsid w:val="00BB32EC"/>
    <w:rsid w:val="00BC184D"/>
    <w:rsid w:val="00BC6A3E"/>
    <w:rsid w:val="00BC7DE2"/>
    <w:rsid w:val="00BD026D"/>
    <w:rsid w:val="00BD2E9A"/>
    <w:rsid w:val="00BE5895"/>
    <w:rsid w:val="00BE7F9D"/>
    <w:rsid w:val="00BF0798"/>
    <w:rsid w:val="00BF14A7"/>
    <w:rsid w:val="00BF268D"/>
    <w:rsid w:val="00BF4993"/>
    <w:rsid w:val="00BF6CF6"/>
    <w:rsid w:val="00C062FF"/>
    <w:rsid w:val="00C06E67"/>
    <w:rsid w:val="00C16173"/>
    <w:rsid w:val="00C25058"/>
    <w:rsid w:val="00C26CF9"/>
    <w:rsid w:val="00C2713B"/>
    <w:rsid w:val="00C314DC"/>
    <w:rsid w:val="00C424D2"/>
    <w:rsid w:val="00C4396C"/>
    <w:rsid w:val="00C44977"/>
    <w:rsid w:val="00C517E0"/>
    <w:rsid w:val="00C53D7F"/>
    <w:rsid w:val="00C540E6"/>
    <w:rsid w:val="00C605C0"/>
    <w:rsid w:val="00C60FCB"/>
    <w:rsid w:val="00C625A0"/>
    <w:rsid w:val="00C625C3"/>
    <w:rsid w:val="00C634A3"/>
    <w:rsid w:val="00C63B94"/>
    <w:rsid w:val="00C66067"/>
    <w:rsid w:val="00C672DF"/>
    <w:rsid w:val="00C70114"/>
    <w:rsid w:val="00C70F63"/>
    <w:rsid w:val="00C73169"/>
    <w:rsid w:val="00C739AD"/>
    <w:rsid w:val="00C74EA1"/>
    <w:rsid w:val="00C81386"/>
    <w:rsid w:val="00C8181E"/>
    <w:rsid w:val="00C81832"/>
    <w:rsid w:val="00C82945"/>
    <w:rsid w:val="00C83075"/>
    <w:rsid w:val="00C845BB"/>
    <w:rsid w:val="00C927E6"/>
    <w:rsid w:val="00C937B8"/>
    <w:rsid w:val="00C94CB3"/>
    <w:rsid w:val="00C96E33"/>
    <w:rsid w:val="00CA6FB8"/>
    <w:rsid w:val="00CB0D72"/>
    <w:rsid w:val="00CB7D17"/>
    <w:rsid w:val="00CC34F3"/>
    <w:rsid w:val="00CD77E3"/>
    <w:rsid w:val="00CE3DF8"/>
    <w:rsid w:val="00CE55CE"/>
    <w:rsid w:val="00CE7C69"/>
    <w:rsid w:val="00CE7D3F"/>
    <w:rsid w:val="00CF19C7"/>
    <w:rsid w:val="00D1042B"/>
    <w:rsid w:val="00D22D33"/>
    <w:rsid w:val="00D233B7"/>
    <w:rsid w:val="00D25FD4"/>
    <w:rsid w:val="00D26270"/>
    <w:rsid w:val="00D30649"/>
    <w:rsid w:val="00D30D9C"/>
    <w:rsid w:val="00D3253C"/>
    <w:rsid w:val="00D35280"/>
    <w:rsid w:val="00D41342"/>
    <w:rsid w:val="00D45128"/>
    <w:rsid w:val="00D459E7"/>
    <w:rsid w:val="00D514C7"/>
    <w:rsid w:val="00D534B5"/>
    <w:rsid w:val="00D55080"/>
    <w:rsid w:val="00D55B9D"/>
    <w:rsid w:val="00D575A9"/>
    <w:rsid w:val="00D677A7"/>
    <w:rsid w:val="00D70B0F"/>
    <w:rsid w:val="00D7218C"/>
    <w:rsid w:val="00D7330A"/>
    <w:rsid w:val="00D75B18"/>
    <w:rsid w:val="00D862D0"/>
    <w:rsid w:val="00D94702"/>
    <w:rsid w:val="00D94BC4"/>
    <w:rsid w:val="00D95921"/>
    <w:rsid w:val="00DA555E"/>
    <w:rsid w:val="00DA5A08"/>
    <w:rsid w:val="00DA7A35"/>
    <w:rsid w:val="00DB03BF"/>
    <w:rsid w:val="00DB221E"/>
    <w:rsid w:val="00DB2396"/>
    <w:rsid w:val="00DB4051"/>
    <w:rsid w:val="00DB5BE8"/>
    <w:rsid w:val="00DC0A05"/>
    <w:rsid w:val="00DD13D6"/>
    <w:rsid w:val="00DD30FA"/>
    <w:rsid w:val="00DD3B1F"/>
    <w:rsid w:val="00DE08D3"/>
    <w:rsid w:val="00DE5835"/>
    <w:rsid w:val="00DE7C88"/>
    <w:rsid w:val="00DF1615"/>
    <w:rsid w:val="00DF42D9"/>
    <w:rsid w:val="00E01CEA"/>
    <w:rsid w:val="00E03357"/>
    <w:rsid w:val="00E1278D"/>
    <w:rsid w:val="00E16528"/>
    <w:rsid w:val="00E177B8"/>
    <w:rsid w:val="00E23F15"/>
    <w:rsid w:val="00E2693A"/>
    <w:rsid w:val="00E312B4"/>
    <w:rsid w:val="00E36BA6"/>
    <w:rsid w:val="00E41D69"/>
    <w:rsid w:val="00E443A8"/>
    <w:rsid w:val="00E44E5C"/>
    <w:rsid w:val="00E50F88"/>
    <w:rsid w:val="00E605CE"/>
    <w:rsid w:val="00E61331"/>
    <w:rsid w:val="00E645E7"/>
    <w:rsid w:val="00E71A57"/>
    <w:rsid w:val="00E73139"/>
    <w:rsid w:val="00E7617E"/>
    <w:rsid w:val="00E806A2"/>
    <w:rsid w:val="00E81A5A"/>
    <w:rsid w:val="00E8271F"/>
    <w:rsid w:val="00E84DC6"/>
    <w:rsid w:val="00E84F83"/>
    <w:rsid w:val="00E93C9A"/>
    <w:rsid w:val="00E94029"/>
    <w:rsid w:val="00E95E9E"/>
    <w:rsid w:val="00E975B0"/>
    <w:rsid w:val="00EA3464"/>
    <w:rsid w:val="00EB2665"/>
    <w:rsid w:val="00EC04AB"/>
    <w:rsid w:val="00EC608C"/>
    <w:rsid w:val="00EC7689"/>
    <w:rsid w:val="00ED0722"/>
    <w:rsid w:val="00EF26B5"/>
    <w:rsid w:val="00EF276B"/>
    <w:rsid w:val="00EF350F"/>
    <w:rsid w:val="00EF663B"/>
    <w:rsid w:val="00F028EF"/>
    <w:rsid w:val="00F02BC0"/>
    <w:rsid w:val="00F26BCA"/>
    <w:rsid w:val="00F30A54"/>
    <w:rsid w:val="00F3297C"/>
    <w:rsid w:val="00F33384"/>
    <w:rsid w:val="00F34009"/>
    <w:rsid w:val="00F5250D"/>
    <w:rsid w:val="00F5572B"/>
    <w:rsid w:val="00F60257"/>
    <w:rsid w:val="00F608C3"/>
    <w:rsid w:val="00F62BC2"/>
    <w:rsid w:val="00F62D40"/>
    <w:rsid w:val="00F63AA3"/>
    <w:rsid w:val="00F66058"/>
    <w:rsid w:val="00F73710"/>
    <w:rsid w:val="00F77CAB"/>
    <w:rsid w:val="00F82377"/>
    <w:rsid w:val="00F82DD6"/>
    <w:rsid w:val="00F86038"/>
    <w:rsid w:val="00F965D4"/>
    <w:rsid w:val="00F97185"/>
    <w:rsid w:val="00FA700F"/>
    <w:rsid w:val="00FB0DC3"/>
    <w:rsid w:val="00FB4521"/>
    <w:rsid w:val="00FC54F2"/>
    <w:rsid w:val="00FC59D2"/>
    <w:rsid w:val="00FC6EFE"/>
    <w:rsid w:val="00FC7066"/>
    <w:rsid w:val="00FC792D"/>
    <w:rsid w:val="00FD11F0"/>
    <w:rsid w:val="00FE59BC"/>
    <w:rsid w:val="00FE7F59"/>
    <w:rsid w:val="00FF35EC"/>
    <w:rsid w:val="00FF5751"/>
    <w:rsid w:val="00FF7F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C51B4"/>
  <w15:chartTrackingRefBased/>
  <w15:docId w15:val="{C6AA3308-9628-4067-86C3-C1F50C98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C6810"/>
    <w:pPr>
      <w:spacing w:after="0"/>
    </w:pPr>
  </w:style>
  <w:style w:type="paragraph" w:styleId="Nadpis1">
    <w:name w:val="heading 1"/>
    <w:basedOn w:val="Normln"/>
    <w:next w:val="Normln"/>
    <w:link w:val="Nadpis1Char"/>
    <w:uiPriority w:val="9"/>
    <w:qFormat/>
    <w:rsid w:val="00904773"/>
    <w:pPr>
      <w:keepNext/>
      <w:keepLines/>
      <w:spacing w:before="240"/>
      <w:outlineLvl w:val="0"/>
    </w:pPr>
    <w:rPr>
      <w:rFonts w:asciiTheme="majorHAnsi" w:eastAsiaTheme="majorEastAsia" w:hAnsiTheme="majorHAnsi" w:cstheme="majorBidi"/>
      <w:color w:val="C8102E" w:themeColor="accent1"/>
      <w:sz w:val="32"/>
      <w:szCs w:val="32"/>
    </w:rPr>
  </w:style>
  <w:style w:type="paragraph" w:styleId="Nadpis2">
    <w:name w:val="heading 2"/>
    <w:basedOn w:val="Normln"/>
    <w:next w:val="Normln"/>
    <w:link w:val="Nadpis2Char"/>
    <w:uiPriority w:val="9"/>
    <w:unhideWhenUsed/>
    <w:qFormat/>
    <w:rsid w:val="00904773"/>
    <w:pPr>
      <w:keepNext/>
      <w:keepLines/>
      <w:spacing w:before="40"/>
      <w:outlineLvl w:val="1"/>
    </w:pPr>
    <w:rPr>
      <w:rFonts w:asciiTheme="majorHAnsi" w:eastAsiaTheme="majorEastAsia" w:hAnsiTheme="majorHAnsi" w:cstheme="majorBidi"/>
      <w:color w:val="0C2340" w:themeColor="accent2"/>
      <w:sz w:val="26"/>
      <w:szCs w:val="26"/>
    </w:rPr>
  </w:style>
  <w:style w:type="paragraph" w:styleId="Nadpis3">
    <w:name w:val="heading 3"/>
    <w:basedOn w:val="Normln"/>
    <w:next w:val="Normln"/>
    <w:link w:val="Nadpis3Char"/>
    <w:uiPriority w:val="9"/>
    <w:unhideWhenUsed/>
    <w:qFormat/>
    <w:rsid w:val="00904773"/>
    <w:pPr>
      <w:keepNext/>
      <w:keepLines/>
      <w:spacing w:before="40"/>
      <w:outlineLvl w:val="2"/>
    </w:pPr>
    <w:rPr>
      <w:rFonts w:asciiTheme="majorHAnsi" w:eastAsiaTheme="majorEastAsia" w:hAnsiTheme="majorHAnsi" w:cstheme="majorBidi"/>
      <w:color w:val="C8102E" w:themeColor="accent1"/>
      <w:sz w:val="24"/>
      <w:szCs w:val="24"/>
    </w:rPr>
  </w:style>
  <w:style w:type="paragraph" w:styleId="Nadpis4">
    <w:name w:val="heading 4"/>
    <w:basedOn w:val="Normln"/>
    <w:next w:val="Normln"/>
    <w:link w:val="Nadpis4Char"/>
    <w:uiPriority w:val="9"/>
    <w:unhideWhenUsed/>
    <w:qFormat/>
    <w:rsid w:val="00904773"/>
    <w:pPr>
      <w:keepNext/>
      <w:keepLines/>
      <w:spacing w:before="40"/>
      <w:outlineLvl w:val="3"/>
    </w:pPr>
    <w:rPr>
      <w:rFonts w:asciiTheme="majorHAnsi" w:eastAsiaTheme="majorEastAsia" w:hAnsiTheme="majorHAnsi" w:cstheme="majorBidi"/>
      <w:i/>
      <w:iCs/>
      <w:color w:val="0C2340" w:themeColor="accent2"/>
    </w:rPr>
  </w:style>
  <w:style w:type="paragraph" w:styleId="Nadpis5">
    <w:name w:val="heading 5"/>
    <w:basedOn w:val="Normln"/>
    <w:next w:val="Normln"/>
    <w:link w:val="Nadpis5Char"/>
    <w:uiPriority w:val="9"/>
    <w:semiHidden/>
    <w:unhideWhenUsed/>
    <w:qFormat/>
    <w:rsid w:val="00904773"/>
    <w:pPr>
      <w:keepNext/>
      <w:keepLines/>
      <w:spacing w:before="40"/>
      <w:outlineLvl w:val="4"/>
    </w:pPr>
    <w:rPr>
      <w:rFonts w:asciiTheme="majorHAnsi" w:eastAsiaTheme="majorEastAsia" w:hAnsiTheme="majorHAnsi" w:cstheme="majorBidi"/>
      <w:color w:val="0C2340" w:themeColor="accent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48FF"/>
    <w:pPr>
      <w:tabs>
        <w:tab w:val="center" w:pos="4536"/>
        <w:tab w:val="right" w:pos="9072"/>
      </w:tabs>
      <w:spacing w:line="240" w:lineRule="auto"/>
      <w:jc w:val="right"/>
    </w:pPr>
    <w:rPr>
      <w:rFonts w:asciiTheme="majorHAnsi" w:hAnsiTheme="majorHAnsi"/>
      <w:caps/>
      <w:color w:val="C8102E" w:themeColor="accent1"/>
      <w:sz w:val="20"/>
    </w:rPr>
  </w:style>
  <w:style w:type="character" w:customStyle="1" w:styleId="ZhlavChar">
    <w:name w:val="Záhlaví Char"/>
    <w:basedOn w:val="Standardnpsmoodstavce"/>
    <w:link w:val="Zhlav"/>
    <w:uiPriority w:val="99"/>
    <w:rsid w:val="006B48FF"/>
    <w:rPr>
      <w:rFonts w:asciiTheme="majorHAnsi" w:hAnsiTheme="majorHAnsi"/>
      <w:caps/>
      <w:color w:val="C8102E" w:themeColor="accent1"/>
      <w:sz w:val="20"/>
    </w:rPr>
  </w:style>
  <w:style w:type="paragraph" w:styleId="Zpat">
    <w:name w:val="footer"/>
    <w:basedOn w:val="Normln"/>
    <w:link w:val="ZpatChar"/>
    <w:uiPriority w:val="99"/>
    <w:unhideWhenUsed/>
    <w:rsid w:val="00BC6A3E"/>
    <w:pPr>
      <w:tabs>
        <w:tab w:val="center" w:pos="4536"/>
        <w:tab w:val="right" w:pos="9072"/>
      </w:tabs>
      <w:spacing w:line="192" w:lineRule="auto"/>
      <w:jc w:val="center"/>
    </w:pPr>
    <w:rPr>
      <w:color w:val="0C2340" w:themeColor="accent2"/>
      <w:sz w:val="16"/>
    </w:rPr>
  </w:style>
  <w:style w:type="character" w:customStyle="1" w:styleId="ZpatChar">
    <w:name w:val="Zápatí Char"/>
    <w:basedOn w:val="Standardnpsmoodstavce"/>
    <w:link w:val="Zpat"/>
    <w:uiPriority w:val="99"/>
    <w:rsid w:val="00BC6A3E"/>
    <w:rPr>
      <w:color w:val="0C2340" w:themeColor="accent2"/>
      <w:sz w:val="16"/>
    </w:rPr>
  </w:style>
  <w:style w:type="table" w:styleId="Mkatabulky">
    <w:name w:val="Table Grid"/>
    <w:basedOn w:val="Normlntabulka"/>
    <w:uiPriority w:val="39"/>
    <w:rsid w:val="009E2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lozka">
    <w:name w:val="dolozka"/>
    <w:basedOn w:val="Normln"/>
    <w:qFormat/>
    <w:rsid w:val="00681AA3"/>
    <w:rPr>
      <w:color w:val="B3B3B3"/>
      <w:sz w:val="12"/>
    </w:rPr>
  </w:style>
  <w:style w:type="paragraph" w:customStyle="1" w:styleId="Hlavicka">
    <w:name w:val="Hlavicka"/>
    <w:basedOn w:val="Normln"/>
    <w:next w:val="Normln"/>
    <w:qFormat/>
    <w:rsid w:val="007D602A"/>
    <w:rPr>
      <w:sz w:val="16"/>
      <w:szCs w:val="26"/>
    </w:rPr>
  </w:style>
  <w:style w:type="character" w:customStyle="1" w:styleId="Nadpis1Char">
    <w:name w:val="Nadpis 1 Char"/>
    <w:basedOn w:val="Standardnpsmoodstavce"/>
    <w:link w:val="Nadpis1"/>
    <w:uiPriority w:val="9"/>
    <w:rsid w:val="00904773"/>
    <w:rPr>
      <w:rFonts w:asciiTheme="majorHAnsi" w:eastAsiaTheme="majorEastAsia" w:hAnsiTheme="majorHAnsi" w:cstheme="majorBidi"/>
      <w:color w:val="C8102E" w:themeColor="accent1"/>
      <w:sz w:val="32"/>
      <w:szCs w:val="32"/>
    </w:rPr>
  </w:style>
  <w:style w:type="character" w:customStyle="1" w:styleId="Nadpis2Char">
    <w:name w:val="Nadpis 2 Char"/>
    <w:basedOn w:val="Standardnpsmoodstavce"/>
    <w:link w:val="Nadpis2"/>
    <w:uiPriority w:val="9"/>
    <w:rsid w:val="00904773"/>
    <w:rPr>
      <w:rFonts w:asciiTheme="majorHAnsi" w:eastAsiaTheme="majorEastAsia" w:hAnsiTheme="majorHAnsi" w:cstheme="majorBidi"/>
      <w:color w:val="0C2340" w:themeColor="accent2"/>
      <w:sz w:val="26"/>
      <w:szCs w:val="26"/>
    </w:rPr>
  </w:style>
  <w:style w:type="character" w:customStyle="1" w:styleId="Nadpis3Char">
    <w:name w:val="Nadpis 3 Char"/>
    <w:basedOn w:val="Standardnpsmoodstavce"/>
    <w:link w:val="Nadpis3"/>
    <w:uiPriority w:val="9"/>
    <w:rsid w:val="00904773"/>
    <w:rPr>
      <w:rFonts w:asciiTheme="majorHAnsi" w:eastAsiaTheme="majorEastAsia" w:hAnsiTheme="majorHAnsi" w:cstheme="majorBidi"/>
      <w:color w:val="C8102E" w:themeColor="accent1"/>
      <w:sz w:val="24"/>
      <w:szCs w:val="24"/>
    </w:rPr>
  </w:style>
  <w:style w:type="character" w:customStyle="1" w:styleId="Nadpis4Char">
    <w:name w:val="Nadpis 4 Char"/>
    <w:basedOn w:val="Standardnpsmoodstavce"/>
    <w:link w:val="Nadpis4"/>
    <w:uiPriority w:val="9"/>
    <w:rsid w:val="00904773"/>
    <w:rPr>
      <w:rFonts w:asciiTheme="majorHAnsi" w:eastAsiaTheme="majorEastAsia" w:hAnsiTheme="majorHAnsi" w:cstheme="majorBidi"/>
      <w:i/>
      <w:iCs/>
      <w:color w:val="0C2340" w:themeColor="accent2"/>
    </w:rPr>
  </w:style>
  <w:style w:type="character" w:customStyle="1" w:styleId="Nadpis5Char">
    <w:name w:val="Nadpis 5 Char"/>
    <w:basedOn w:val="Standardnpsmoodstavce"/>
    <w:link w:val="Nadpis5"/>
    <w:uiPriority w:val="9"/>
    <w:semiHidden/>
    <w:rsid w:val="00904773"/>
    <w:rPr>
      <w:rFonts w:asciiTheme="majorHAnsi" w:eastAsiaTheme="majorEastAsia" w:hAnsiTheme="majorHAnsi" w:cstheme="majorBidi"/>
      <w:color w:val="0C2340" w:themeColor="accent2"/>
    </w:rPr>
  </w:style>
  <w:style w:type="paragraph" w:styleId="Textbubliny">
    <w:name w:val="Balloon Text"/>
    <w:basedOn w:val="Normln"/>
    <w:link w:val="TextbublinyChar"/>
    <w:uiPriority w:val="99"/>
    <w:semiHidden/>
    <w:unhideWhenUsed/>
    <w:rsid w:val="00C06E67"/>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06E67"/>
    <w:rPr>
      <w:rFonts w:ascii="Segoe UI" w:hAnsi="Segoe UI" w:cs="Segoe UI"/>
      <w:sz w:val="18"/>
      <w:szCs w:val="18"/>
    </w:rPr>
  </w:style>
  <w:style w:type="paragraph" w:styleId="Odstavecseseznamem">
    <w:name w:val="List Paragraph"/>
    <w:basedOn w:val="Normln"/>
    <w:uiPriority w:val="34"/>
    <w:qFormat/>
    <w:rsid w:val="00FD11F0"/>
    <w:pPr>
      <w:spacing w:after="160"/>
      <w:ind w:left="720"/>
      <w:contextualSpacing/>
    </w:pPr>
  </w:style>
  <w:style w:type="character" w:styleId="Hypertextovodkaz">
    <w:name w:val="Hyperlink"/>
    <w:basedOn w:val="Standardnpsmoodstavce"/>
    <w:uiPriority w:val="99"/>
    <w:unhideWhenUsed/>
    <w:rsid w:val="00764A54"/>
    <w:rPr>
      <w:color w:val="1D569B" w:themeColor="hyperlink"/>
      <w:u w:val="single"/>
    </w:rPr>
  </w:style>
  <w:style w:type="character" w:styleId="Odkaznakoment">
    <w:name w:val="annotation reference"/>
    <w:basedOn w:val="Standardnpsmoodstavce"/>
    <w:uiPriority w:val="99"/>
    <w:semiHidden/>
    <w:unhideWhenUsed/>
    <w:rsid w:val="0024186D"/>
    <w:rPr>
      <w:sz w:val="16"/>
      <w:szCs w:val="16"/>
    </w:rPr>
  </w:style>
  <w:style w:type="paragraph" w:styleId="Textkomente">
    <w:name w:val="annotation text"/>
    <w:basedOn w:val="Normln"/>
    <w:link w:val="TextkomenteChar"/>
    <w:uiPriority w:val="99"/>
    <w:unhideWhenUsed/>
    <w:rsid w:val="0024186D"/>
    <w:pPr>
      <w:spacing w:line="240" w:lineRule="auto"/>
    </w:pPr>
    <w:rPr>
      <w:sz w:val="20"/>
      <w:szCs w:val="20"/>
    </w:rPr>
  </w:style>
  <w:style w:type="character" w:customStyle="1" w:styleId="TextkomenteChar">
    <w:name w:val="Text komentáře Char"/>
    <w:basedOn w:val="Standardnpsmoodstavce"/>
    <w:link w:val="Textkomente"/>
    <w:uiPriority w:val="99"/>
    <w:rsid w:val="0024186D"/>
    <w:rPr>
      <w:sz w:val="20"/>
      <w:szCs w:val="20"/>
    </w:rPr>
  </w:style>
  <w:style w:type="paragraph" w:styleId="Pedmtkomente">
    <w:name w:val="annotation subject"/>
    <w:basedOn w:val="Textkomente"/>
    <w:next w:val="Textkomente"/>
    <w:link w:val="PedmtkomenteChar"/>
    <w:uiPriority w:val="99"/>
    <w:semiHidden/>
    <w:unhideWhenUsed/>
    <w:rsid w:val="0024186D"/>
    <w:rPr>
      <w:b/>
      <w:bCs/>
    </w:rPr>
  </w:style>
  <w:style w:type="character" w:customStyle="1" w:styleId="PedmtkomenteChar">
    <w:name w:val="Předmět komentáře Char"/>
    <w:basedOn w:val="TextkomenteChar"/>
    <w:link w:val="Pedmtkomente"/>
    <w:uiPriority w:val="99"/>
    <w:semiHidden/>
    <w:rsid w:val="0024186D"/>
    <w:rPr>
      <w:b/>
      <w:bCs/>
      <w:sz w:val="20"/>
      <w:szCs w:val="20"/>
    </w:rPr>
  </w:style>
  <w:style w:type="character" w:styleId="Sledovanodkaz">
    <w:name w:val="FollowedHyperlink"/>
    <w:basedOn w:val="Standardnpsmoodstavce"/>
    <w:uiPriority w:val="99"/>
    <w:semiHidden/>
    <w:unhideWhenUsed/>
    <w:rsid w:val="00765EDC"/>
    <w:rPr>
      <w:color w:val="EE2A4B" w:themeColor="followedHyperlink"/>
      <w:u w:val="single"/>
    </w:rPr>
  </w:style>
  <w:style w:type="character" w:customStyle="1" w:styleId="Nevyeenzmnka1">
    <w:name w:val="Nevyřešená zmínka1"/>
    <w:basedOn w:val="Standardnpsmoodstavce"/>
    <w:uiPriority w:val="99"/>
    <w:semiHidden/>
    <w:unhideWhenUsed/>
    <w:rsid w:val="00174816"/>
    <w:rPr>
      <w:color w:val="605E5C"/>
      <w:shd w:val="clear" w:color="auto" w:fill="E1DFDD"/>
    </w:rPr>
  </w:style>
  <w:style w:type="paragraph" w:styleId="Normlnweb">
    <w:name w:val="Normal (Web)"/>
    <w:basedOn w:val="Normln"/>
    <w:uiPriority w:val="99"/>
    <w:unhideWhenUsed/>
    <w:rsid w:val="00971DD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8054AB"/>
    <w:pPr>
      <w:spacing w:after="0" w:line="240" w:lineRule="auto"/>
    </w:pPr>
  </w:style>
  <w:style w:type="character" w:customStyle="1" w:styleId="Nevyeenzmnka2">
    <w:name w:val="Nevyřešená zmínka2"/>
    <w:basedOn w:val="Standardnpsmoodstavce"/>
    <w:uiPriority w:val="99"/>
    <w:semiHidden/>
    <w:unhideWhenUsed/>
    <w:rsid w:val="000802DB"/>
    <w:rPr>
      <w:color w:val="605E5C"/>
      <w:shd w:val="clear" w:color="auto" w:fill="E1DFDD"/>
    </w:rPr>
  </w:style>
  <w:style w:type="paragraph" w:styleId="Textpoznpodarou">
    <w:name w:val="footnote text"/>
    <w:basedOn w:val="Normln"/>
    <w:link w:val="TextpoznpodarouChar"/>
    <w:uiPriority w:val="99"/>
    <w:semiHidden/>
    <w:unhideWhenUsed/>
    <w:rsid w:val="002253EB"/>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2253EB"/>
    <w:rPr>
      <w:sz w:val="20"/>
      <w:szCs w:val="20"/>
    </w:rPr>
  </w:style>
  <w:style w:type="character" w:styleId="Znakapoznpodarou">
    <w:name w:val="footnote reference"/>
    <w:basedOn w:val="Standardnpsmoodstavce"/>
    <w:uiPriority w:val="99"/>
    <w:semiHidden/>
    <w:unhideWhenUsed/>
    <w:rsid w:val="002253EB"/>
    <w:rPr>
      <w:vertAlign w:val="superscript"/>
    </w:rPr>
  </w:style>
  <w:style w:type="character" w:customStyle="1" w:styleId="Nevyeenzmnka3">
    <w:name w:val="Nevyřešená zmínka3"/>
    <w:basedOn w:val="Standardnpsmoodstavce"/>
    <w:uiPriority w:val="99"/>
    <w:semiHidden/>
    <w:unhideWhenUsed/>
    <w:rsid w:val="00D94702"/>
    <w:rPr>
      <w:color w:val="605E5C"/>
      <w:shd w:val="clear" w:color="auto" w:fill="E1DFDD"/>
    </w:rPr>
  </w:style>
  <w:style w:type="character" w:styleId="Nevyeenzmnka">
    <w:name w:val="Unresolved Mention"/>
    <w:basedOn w:val="Standardnpsmoodstavce"/>
    <w:uiPriority w:val="99"/>
    <w:semiHidden/>
    <w:unhideWhenUsed/>
    <w:rsid w:val="00241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7710">
      <w:bodyDiv w:val="1"/>
      <w:marLeft w:val="0"/>
      <w:marRight w:val="0"/>
      <w:marTop w:val="0"/>
      <w:marBottom w:val="0"/>
      <w:divBdr>
        <w:top w:val="none" w:sz="0" w:space="0" w:color="auto"/>
        <w:left w:val="none" w:sz="0" w:space="0" w:color="auto"/>
        <w:bottom w:val="none" w:sz="0" w:space="0" w:color="auto"/>
        <w:right w:val="none" w:sz="0" w:space="0" w:color="auto"/>
      </w:divBdr>
    </w:div>
    <w:div w:id="196508804">
      <w:bodyDiv w:val="1"/>
      <w:marLeft w:val="0"/>
      <w:marRight w:val="0"/>
      <w:marTop w:val="0"/>
      <w:marBottom w:val="0"/>
      <w:divBdr>
        <w:top w:val="none" w:sz="0" w:space="0" w:color="auto"/>
        <w:left w:val="none" w:sz="0" w:space="0" w:color="auto"/>
        <w:bottom w:val="none" w:sz="0" w:space="0" w:color="auto"/>
        <w:right w:val="none" w:sz="0" w:space="0" w:color="auto"/>
      </w:divBdr>
    </w:div>
    <w:div w:id="257064019">
      <w:bodyDiv w:val="1"/>
      <w:marLeft w:val="0"/>
      <w:marRight w:val="0"/>
      <w:marTop w:val="0"/>
      <w:marBottom w:val="0"/>
      <w:divBdr>
        <w:top w:val="none" w:sz="0" w:space="0" w:color="auto"/>
        <w:left w:val="none" w:sz="0" w:space="0" w:color="auto"/>
        <w:bottom w:val="none" w:sz="0" w:space="0" w:color="auto"/>
        <w:right w:val="none" w:sz="0" w:space="0" w:color="auto"/>
      </w:divBdr>
    </w:div>
    <w:div w:id="457188477">
      <w:bodyDiv w:val="1"/>
      <w:marLeft w:val="0"/>
      <w:marRight w:val="0"/>
      <w:marTop w:val="0"/>
      <w:marBottom w:val="0"/>
      <w:divBdr>
        <w:top w:val="none" w:sz="0" w:space="0" w:color="auto"/>
        <w:left w:val="none" w:sz="0" w:space="0" w:color="auto"/>
        <w:bottom w:val="none" w:sz="0" w:space="0" w:color="auto"/>
        <w:right w:val="none" w:sz="0" w:space="0" w:color="auto"/>
      </w:divBdr>
    </w:div>
    <w:div w:id="541094411">
      <w:bodyDiv w:val="1"/>
      <w:marLeft w:val="0"/>
      <w:marRight w:val="0"/>
      <w:marTop w:val="0"/>
      <w:marBottom w:val="0"/>
      <w:divBdr>
        <w:top w:val="none" w:sz="0" w:space="0" w:color="auto"/>
        <w:left w:val="none" w:sz="0" w:space="0" w:color="auto"/>
        <w:bottom w:val="none" w:sz="0" w:space="0" w:color="auto"/>
        <w:right w:val="none" w:sz="0" w:space="0" w:color="auto"/>
      </w:divBdr>
    </w:div>
    <w:div w:id="547492229">
      <w:bodyDiv w:val="1"/>
      <w:marLeft w:val="0"/>
      <w:marRight w:val="0"/>
      <w:marTop w:val="0"/>
      <w:marBottom w:val="0"/>
      <w:divBdr>
        <w:top w:val="none" w:sz="0" w:space="0" w:color="auto"/>
        <w:left w:val="none" w:sz="0" w:space="0" w:color="auto"/>
        <w:bottom w:val="none" w:sz="0" w:space="0" w:color="auto"/>
        <w:right w:val="none" w:sz="0" w:space="0" w:color="auto"/>
      </w:divBdr>
    </w:div>
    <w:div w:id="648829275">
      <w:bodyDiv w:val="1"/>
      <w:marLeft w:val="0"/>
      <w:marRight w:val="0"/>
      <w:marTop w:val="0"/>
      <w:marBottom w:val="0"/>
      <w:divBdr>
        <w:top w:val="none" w:sz="0" w:space="0" w:color="auto"/>
        <w:left w:val="none" w:sz="0" w:space="0" w:color="auto"/>
        <w:bottom w:val="none" w:sz="0" w:space="0" w:color="auto"/>
        <w:right w:val="none" w:sz="0" w:space="0" w:color="auto"/>
      </w:divBdr>
    </w:div>
    <w:div w:id="880482919">
      <w:bodyDiv w:val="1"/>
      <w:marLeft w:val="0"/>
      <w:marRight w:val="0"/>
      <w:marTop w:val="0"/>
      <w:marBottom w:val="0"/>
      <w:divBdr>
        <w:top w:val="none" w:sz="0" w:space="0" w:color="auto"/>
        <w:left w:val="none" w:sz="0" w:space="0" w:color="auto"/>
        <w:bottom w:val="none" w:sz="0" w:space="0" w:color="auto"/>
        <w:right w:val="none" w:sz="0" w:space="0" w:color="auto"/>
      </w:divBdr>
    </w:div>
    <w:div w:id="1030490526">
      <w:bodyDiv w:val="1"/>
      <w:marLeft w:val="0"/>
      <w:marRight w:val="0"/>
      <w:marTop w:val="0"/>
      <w:marBottom w:val="0"/>
      <w:divBdr>
        <w:top w:val="none" w:sz="0" w:space="0" w:color="auto"/>
        <w:left w:val="none" w:sz="0" w:space="0" w:color="auto"/>
        <w:bottom w:val="none" w:sz="0" w:space="0" w:color="auto"/>
        <w:right w:val="none" w:sz="0" w:space="0" w:color="auto"/>
      </w:divBdr>
    </w:div>
    <w:div w:id="1062601527">
      <w:bodyDiv w:val="1"/>
      <w:marLeft w:val="0"/>
      <w:marRight w:val="0"/>
      <w:marTop w:val="0"/>
      <w:marBottom w:val="0"/>
      <w:divBdr>
        <w:top w:val="none" w:sz="0" w:space="0" w:color="auto"/>
        <w:left w:val="none" w:sz="0" w:space="0" w:color="auto"/>
        <w:bottom w:val="none" w:sz="0" w:space="0" w:color="auto"/>
        <w:right w:val="none" w:sz="0" w:space="0" w:color="auto"/>
      </w:divBdr>
    </w:div>
    <w:div w:id="1121151980">
      <w:bodyDiv w:val="1"/>
      <w:marLeft w:val="0"/>
      <w:marRight w:val="0"/>
      <w:marTop w:val="0"/>
      <w:marBottom w:val="0"/>
      <w:divBdr>
        <w:top w:val="none" w:sz="0" w:space="0" w:color="auto"/>
        <w:left w:val="none" w:sz="0" w:space="0" w:color="auto"/>
        <w:bottom w:val="none" w:sz="0" w:space="0" w:color="auto"/>
        <w:right w:val="none" w:sz="0" w:space="0" w:color="auto"/>
      </w:divBdr>
      <w:divsChild>
        <w:div w:id="1868637505">
          <w:marLeft w:val="0"/>
          <w:marRight w:val="0"/>
          <w:marTop w:val="0"/>
          <w:marBottom w:val="0"/>
          <w:divBdr>
            <w:top w:val="none" w:sz="0" w:space="0" w:color="auto"/>
            <w:left w:val="none" w:sz="0" w:space="0" w:color="auto"/>
            <w:bottom w:val="none" w:sz="0" w:space="0" w:color="auto"/>
            <w:right w:val="none" w:sz="0" w:space="0" w:color="auto"/>
          </w:divBdr>
        </w:div>
        <w:div w:id="1307472796">
          <w:marLeft w:val="0"/>
          <w:marRight w:val="0"/>
          <w:marTop w:val="0"/>
          <w:marBottom w:val="0"/>
          <w:divBdr>
            <w:top w:val="none" w:sz="0" w:space="0" w:color="auto"/>
            <w:left w:val="none" w:sz="0" w:space="0" w:color="auto"/>
            <w:bottom w:val="none" w:sz="0" w:space="0" w:color="auto"/>
            <w:right w:val="none" w:sz="0" w:space="0" w:color="auto"/>
          </w:divBdr>
        </w:div>
        <w:div w:id="1561550202">
          <w:marLeft w:val="0"/>
          <w:marRight w:val="0"/>
          <w:marTop w:val="0"/>
          <w:marBottom w:val="0"/>
          <w:divBdr>
            <w:top w:val="none" w:sz="0" w:space="0" w:color="auto"/>
            <w:left w:val="none" w:sz="0" w:space="0" w:color="auto"/>
            <w:bottom w:val="none" w:sz="0" w:space="0" w:color="auto"/>
            <w:right w:val="none" w:sz="0" w:space="0" w:color="auto"/>
          </w:divBdr>
        </w:div>
      </w:divsChild>
    </w:div>
    <w:div w:id="211316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rikay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Trikaya">
      <a:dk1>
        <a:sysClr val="windowText" lastClr="000000"/>
      </a:dk1>
      <a:lt1>
        <a:sysClr val="window" lastClr="FFFFFF"/>
      </a:lt1>
      <a:dk2>
        <a:srgbClr val="44546A"/>
      </a:dk2>
      <a:lt2>
        <a:srgbClr val="E7E6E6"/>
      </a:lt2>
      <a:accent1>
        <a:srgbClr val="C8102E"/>
      </a:accent1>
      <a:accent2>
        <a:srgbClr val="0C2340"/>
      </a:accent2>
      <a:accent3>
        <a:srgbClr val="A8AD00"/>
      </a:accent3>
      <a:accent4>
        <a:srgbClr val="84329B"/>
      </a:accent4>
      <a:accent5>
        <a:srgbClr val="00B0B9"/>
      </a:accent5>
      <a:accent6>
        <a:srgbClr val="F2A900"/>
      </a:accent6>
      <a:hlink>
        <a:srgbClr val="1D569B"/>
      </a:hlink>
      <a:folHlink>
        <a:srgbClr val="EE2A4B"/>
      </a:folHlink>
    </a:clrScheme>
    <a:fontScheme name="Trikaya">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C3DB241B-802A-4FC7-BD14-E5AABB9D1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1681</Words>
  <Characters>9918</Characters>
  <Application>Microsoft Office Word</Application>
  <DocSecurity>0</DocSecurity>
  <Lines>82</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Tashi Erml</dc:creator>
  <cp:keywords/>
  <dc:description/>
  <cp:lastModifiedBy>Dagmar Schejbalová</cp:lastModifiedBy>
  <cp:revision>4</cp:revision>
  <cp:lastPrinted>2023-04-04T10:35:00Z</cp:lastPrinted>
  <dcterms:created xsi:type="dcterms:W3CDTF">2026-04-21T14:10:00Z</dcterms:created>
  <dcterms:modified xsi:type="dcterms:W3CDTF">2026-04-21T16:04:00Z</dcterms:modified>
</cp:coreProperties>
</file>