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09F" w14:textId="5D32D0A4" w:rsidR="00A76F2E" w:rsidRPr="009A297E" w:rsidRDefault="009A297E" w:rsidP="00D45128">
      <w:pPr>
        <w:jc w:val="right"/>
        <w:rPr>
          <w:sz w:val="18"/>
        </w:rPr>
      </w:pPr>
      <w:r w:rsidRPr="009A297E">
        <w:rPr>
          <w:sz w:val="18"/>
        </w:rPr>
        <w:t>Datum</w:t>
      </w:r>
      <w:r w:rsidRPr="009D765F">
        <w:rPr>
          <w:sz w:val="18"/>
        </w:rPr>
        <w:t xml:space="preserve">: </w:t>
      </w:r>
      <w:r w:rsidR="00AE309D">
        <w:rPr>
          <w:sz w:val="18"/>
        </w:rPr>
        <w:t>1</w:t>
      </w:r>
      <w:r w:rsidR="000E5EDC">
        <w:rPr>
          <w:sz w:val="18"/>
        </w:rPr>
        <w:t>7</w:t>
      </w:r>
      <w:r w:rsidR="008054AB">
        <w:rPr>
          <w:sz w:val="18"/>
        </w:rPr>
        <w:t>.</w:t>
      </w:r>
      <w:r w:rsidR="0084307B">
        <w:rPr>
          <w:sz w:val="18"/>
        </w:rPr>
        <w:t xml:space="preserve"> </w:t>
      </w:r>
      <w:r w:rsidR="007769EF">
        <w:rPr>
          <w:sz w:val="18"/>
        </w:rPr>
        <w:t>3</w:t>
      </w:r>
      <w:r w:rsidRPr="009A297E">
        <w:rPr>
          <w:sz w:val="18"/>
        </w:rPr>
        <w:t>. 20</w:t>
      </w:r>
      <w:r w:rsidR="007D6A80">
        <w:rPr>
          <w:sz w:val="18"/>
        </w:rPr>
        <w:t>2</w:t>
      </w:r>
      <w:r w:rsidR="007769EF">
        <w:rPr>
          <w:sz w:val="18"/>
        </w:rPr>
        <w:t>3</w:t>
      </w:r>
    </w:p>
    <w:p w14:paraId="64E7CC2B" w14:textId="77777777" w:rsidR="009A297E" w:rsidRPr="00B94975" w:rsidRDefault="009A297E" w:rsidP="00D45128">
      <w:pPr>
        <w:jc w:val="both"/>
      </w:pPr>
    </w:p>
    <w:p w14:paraId="05743939" w14:textId="7B8DC10A" w:rsidR="007769EF" w:rsidRDefault="007769EF" w:rsidP="007769EF">
      <w:pPr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Trikaya plánuje do výstavby Čtvrti Pod Hády investovat přes čtyři miliardy korun. Projekt bude financovat i skrze svůj investiční fond, jehož portfolio tímto nově rozšiřuje o udržitelné rezidenční nemovitosti</w:t>
      </w:r>
    </w:p>
    <w:p w14:paraId="626854E3" w14:textId="77777777" w:rsidR="00AE309D" w:rsidRPr="00B94975" w:rsidRDefault="00AE309D" w:rsidP="00971DD8">
      <w:pPr>
        <w:rPr>
          <w:b/>
          <w:color w:val="3B3838" w:themeColor="background2" w:themeShade="40"/>
        </w:rPr>
      </w:pPr>
    </w:p>
    <w:p w14:paraId="01AFDFD4" w14:textId="2AF5F43C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  <w:r w:rsidRPr="00AE309D">
        <w:rPr>
          <w:b/>
          <w:color w:val="3B3838" w:themeColor="background2" w:themeShade="40"/>
        </w:rPr>
        <w:t>Brno</w:t>
      </w:r>
      <w:r>
        <w:rPr>
          <w:b/>
          <w:color w:val="3B3838" w:themeColor="background2" w:themeShade="40"/>
        </w:rPr>
        <w:t xml:space="preserve"> – </w:t>
      </w:r>
      <w:r w:rsidR="007769EF" w:rsidRPr="007769EF">
        <w:rPr>
          <w:b/>
          <w:color w:val="3B3838" w:themeColor="background2" w:themeShade="40"/>
        </w:rPr>
        <w:t>Úspěšný investiční fond developerské společnosti Trikaya rozšiřuje své portfolio v souladu se svou dlouhodobou strategií také o rezidenční projekty. Fond, který v roce 2022 vykázal nadprůměrné zhodnocení ve výši 9,06 %, nabídne investorům příležitost podílet se na financování rozsáhlého projektu nové bytové Čtvrti Pod Hády</w:t>
      </w:r>
      <w:r w:rsidR="006308F9">
        <w:rPr>
          <w:b/>
          <w:color w:val="3B3838" w:themeColor="background2" w:themeShade="40"/>
        </w:rPr>
        <w:t xml:space="preserve"> </w:t>
      </w:r>
      <w:r w:rsidR="007769EF" w:rsidRPr="007769EF">
        <w:rPr>
          <w:b/>
          <w:color w:val="3B3838" w:themeColor="background2" w:themeShade="40"/>
        </w:rPr>
        <w:t xml:space="preserve">v Brně, do které Trikaya </w:t>
      </w:r>
      <w:r w:rsidR="00D07B13">
        <w:rPr>
          <w:b/>
          <w:color w:val="3B3838" w:themeColor="background2" w:themeShade="40"/>
        </w:rPr>
        <w:t xml:space="preserve">hodlá </w:t>
      </w:r>
      <w:r w:rsidR="007769EF">
        <w:rPr>
          <w:b/>
          <w:color w:val="3B3838" w:themeColor="background2" w:themeShade="40"/>
        </w:rPr>
        <w:t xml:space="preserve">v </w:t>
      </w:r>
      <w:r w:rsidR="007769EF" w:rsidRPr="007769EF">
        <w:rPr>
          <w:b/>
          <w:color w:val="3B3838" w:themeColor="background2" w:themeShade="40"/>
        </w:rPr>
        <w:t>následujících letech vložit více než čtyři miliardy korun.</w:t>
      </w:r>
    </w:p>
    <w:p w14:paraId="532A7D37" w14:textId="77777777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</w:p>
    <w:p w14:paraId="4A926B49" w14:textId="4099F370" w:rsidR="007769EF" w:rsidRDefault="007769EF" w:rsidP="00AE309D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>Nemovitostní trh představuje v době politických a ekonomických turbulencí stabilní</w:t>
      </w:r>
      <w:r w:rsidR="006308F9">
        <w:rPr>
          <w:bCs/>
          <w:color w:val="3B3838" w:themeColor="background2" w:themeShade="40"/>
        </w:rPr>
        <w:br/>
      </w:r>
      <w:r w:rsidRPr="007769EF">
        <w:rPr>
          <w:bCs/>
          <w:color w:val="3B3838" w:themeColor="background2" w:themeShade="40"/>
        </w:rPr>
        <w:t>a bezpečný způsob investování, a to i navzdory mírnému ochlazení realitního trhu</w:t>
      </w:r>
      <w:r w:rsidR="006308F9">
        <w:rPr>
          <w:bCs/>
          <w:color w:val="3B3838" w:themeColor="background2" w:themeShade="40"/>
        </w:rPr>
        <w:br/>
      </w:r>
      <w:r w:rsidRPr="007769EF">
        <w:rPr>
          <w:bCs/>
          <w:color w:val="3B3838" w:themeColor="background2" w:themeShade="40"/>
        </w:rPr>
        <w:t xml:space="preserve">v posledních měsících. </w:t>
      </w:r>
      <w:r w:rsidRPr="007769EF">
        <w:rPr>
          <w:bCs/>
          <w:i/>
          <w:iCs/>
          <w:color w:val="3B3838" w:themeColor="background2" w:themeShade="40"/>
        </w:rPr>
        <w:t>„Hodnota nemovitostí stabilně dlouhodobě roste, a proto jsou velmi vhodnou investiční příležitostí i pro konzervativnější investory,“</w:t>
      </w:r>
      <w:r w:rsidRPr="007769EF">
        <w:rPr>
          <w:bCs/>
          <w:color w:val="3B3838" w:themeColor="background2" w:themeShade="40"/>
        </w:rPr>
        <w:t xml:space="preserve"> vysvětluje zakladatel developerské skupiny Trikaya Dalibor Lamka.</w:t>
      </w:r>
    </w:p>
    <w:p w14:paraId="707C7DD0" w14:textId="72F37E6F" w:rsidR="007769EF" w:rsidRDefault="007769EF" w:rsidP="00AE309D">
      <w:pPr>
        <w:jc w:val="both"/>
        <w:rPr>
          <w:bCs/>
          <w:color w:val="3B3838" w:themeColor="background2" w:themeShade="40"/>
        </w:rPr>
      </w:pPr>
    </w:p>
    <w:p w14:paraId="03CA814C" w14:textId="09E429F5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i/>
          <w:iCs/>
          <w:color w:val="3B3838" w:themeColor="background2" w:themeShade="40"/>
        </w:rPr>
        <w:t xml:space="preserve">„Domníváme se, že i v roce 2023 nabídne fond minimálně stejně vysoké zhodnocení jako </w:t>
      </w:r>
      <w:r w:rsidR="00D07B13">
        <w:rPr>
          <w:bCs/>
          <w:i/>
          <w:iCs/>
          <w:color w:val="3B3838" w:themeColor="background2" w:themeShade="40"/>
        </w:rPr>
        <w:br/>
      </w:r>
      <w:r w:rsidRPr="007769EF">
        <w:rPr>
          <w:bCs/>
          <w:i/>
          <w:iCs/>
          <w:color w:val="3B3838" w:themeColor="background2" w:themeShade="40"/>
        </w:rPr>
        <w:t>v roce 2022. Od svého založení dosáhl fond výnosu ve výši 26,50 %, průměrné zhodnocení se pohybovalo okolo 6,5 % ročně. Abychom investorům zajistili stabilní výnos, rozhodli jsme se</w:t>
      </w:r>
      <w:r w:rsidR="006308F9">
        <w:rPr>
          <w:bCs/>
          <w:i/>
          <w:iCs/>
          <w:color w:val="3B3838" w:themeColor="background2" w:themeShade="40"/>
        </w:rPr>
        <w:br/>
      </w:r>
      <w:r w:rsidRPr="007769EF">
        <w:rPr>
          <w:bCs/>
          <w:i/>
          <w:iCs/>
          <w:color w:val="3B3838" w:themeColor="background2" w:themeShade="40"/>
        </w:rPr>
        <w:t>v souladu s investiční strategií v následujících letech do fondu zahrnout i aktiva rezidenčního bydlení,“</w:t>
      </w:r>
      <w:r w:rsidRPr="007769EF">
        <w:rPr>
          <w:bCs/>
          <w:color w:val="3B3838" w:themeColor="background2" w:themeShade="40"/>
        </w:rPr>
        <w:t xml:space="preserve"> komentuje Lamka předpokládané výsledky a plány společnosti.</w:t>
      </w:r>
    </w:p>
    <w:p w14:paraId="0ACEFD61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41DB31A1" w14:textId="77777777" w:rsidR="007769EF" w:rsidRPr="007769EF" w:rsidRDefault="007769EF" w:rsidP="007769EF">
      <w:pPr>
        <w:jc w:val="both"/>
        <w:rPr>
          <w:b/>
          <w:color w:val="3B3838" w:themeColor="background2" w:themeShade="40"/>
        </w:rPr>
      </w:pPr>
      <w:r w:rsidRPr="007769EF">
        <w:rPr>
          <w:b/>
          <w:color w:val="3B3838" w:themeColor="background2" w:themeShade="40"/>
        </w:rPr>
        <w:t>Čtvrť Pod Hády – udržitelná čtvrť budoucnosti i atraktivní investice</w:t>
      </w:r>
    </w:p>
    <w:p w14:paraId="110BBA98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0A02092D" w14:textId="5D92057C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 xml:space="preserve">Nejnovější investiční příležitost představuje výrazná část unikátní zelené </w:t>
      </w:r>
      <w:hyperlink r:id="rId8" w:history="1">
        <w:r w:rsidRPr="007769EF">
          <w:rPr>
            <w:rStyle w:val="Hypertextovodkaz"/>
            <w:bCs/>
          </w:rPr>
          <w:t>Čtvrti Pod Hády</w:t>
        </w:r>
      </w:hyperlink>
      <w:r w:rsidRPr="007769EF">
        <w:rPr>
          <w:bCs/>
          <w:color w:val="3B3838" w:themeColor="background2" w:themeShade="40"/>
        </w:rPr>
        <w:t xml:space="preserve">. Jeden z aktuálně nejrozsáhlejších developerských projektů společnosti </w:t>
      </w:r>
      <w:hyperlink r:id="rId9" w:history="1">
        <w:r w:rsidRPr="007769EF">
          <w:rPr>
            <w:rStyle w:val="Hypertextovodkaz"/>
            <w:bCs/>
          </w:rPr>
          <w:t>Trikaya</w:t>
        </w:r>
      </w:hyperlink>
      <w:r w:rsidRPr="007769EF">
        <w:rPr>
          <w:bCs/>
          <w:color w:val="3B3838" w:themeColor="background2" w:themeShade="40"/>
        </w:rPr>
        <w:t xml:space="preserve"> v Brně nabídne celkem přes </w:t>
      </w:r>
      <w:r w:rsidR="00A402FE">
        <w:rPr>
          <w:bCs/>
          <w:color w:val="3B3838" w:themeColor="background2" w:themeShade="40"/>
        </w:rPr>
        <w:t>tisíc</w:t>
      </w:r>
      <w:r w:rsidR="00A402FE" w:rsidRPr="007769EF">
        <w:rPr>
          <w:bCs/>
          <w:color w:val="3B3838" w:themeColor="background2" w:themeShade="40"/>
        </w:rPr>
        <w:t xml:space="preserve"> </w:t>
      </w:r>
      <w:r w:rsidRPr="007769EF">
        <w:rPr>
          <w:bCs/>
          <w:color w:val="3B3838" w:themeColor="background2" w:themeShade="40"/>
        </w:rPr>
        <w:t xml:space="preserve">nových bytů v bytových domech i </w:t>
      </w:r>
      <w:proofErr w:type="spellStart"/>
      <w:r w:rsidRPr="007769EF">
        <w:rPr>
          <w:bCs/>
          <w:color w:val="3B3838" w:themeColor="background2" w:themeShade="40"/>
        </w:rPr>
        <w:t>viladomech</w:t>
      </w:r>
      <w:proofErr w:type="spellEnd"/>
      <w:r w:rsidRPr="007769EF">
        <w:rPr>
          <w:bCs/>
          <w:color w:val="3B3838" w:themeColor="background2" w:themeShade="40"/>
        </w:rPr>
        <w:t xml:space="preserve">. </w:t>
      </w:r>
    </w:p>
    <w:p w14:paraId="0B26C06B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68B07DC5" w14:textId="38A76B8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>Za podobou plánované čtvrti stojí známá jména</w:t>
      </w:r>
      <w:r w:rsidR="00A402FE">
        <w:rPr>
          <w:bCs/>
          <w:color w:val="3B3838" w:themeColor="background2" w:themeShade="40"/>
        </w:rPr>
        <w:t>. O</w:t>
      </w:r>
      <w:r w:rsidRPr="007769EF">
        <w:rPr>
          <w:bCs/>
          <w:color w:val="3B3838" w:themeColor="background2" w:themeShade="40"/>
        </w:rPr>
        <w:t xml:space="preserve"> architektonický návrh budov se postaralo duo Kuba &amp; Pilař, které loni získalo prestižní cenu Architekt roku 2022. Střešní zahrady s vyhlídkami a zelená prostranství navrhl ateliér </w:t>
      </w:r>
      <w:proofErr w:type="spellStart"/>
      <w:r w:rsidRPr="007769EF">
        <w:rPr>
          <w:bCs/>
          <w:color w:val="3B3838" w:themeColor="background2" w:themeShade="40"/>
        </w:rPr>
        <w:t>Flera</w:t>
      </w:r>
      <w:proofErr w:type="spellEnd"/>
      <w:r w:rsidRPr="007769EF">
        <w:rPr>
          <w:bCs/>
          <w:color w:val="3B3838" w:themeColor="background2" w:themeShade="40"/>
        </w:rPr>
        <w:t xml:space="preserve"> hvězdného architekta Ferdinanda </w:t>
      </w:r>
      <w:proofErr w:type="spellStart"/>
      <w:r w:rsidRPr="007769EF">
        <w:rPr>
          <w:bCs/>
          <w:color w:val="3B3838" w:themeColor="background2" w:themeShade="40"/>
        </w:rPr>
        <w:t>Lefflera</w:t>
      </w:r>
      <w:proofErr w:type="spellEnd"/>
      <w:r w:rsidRPr="007769EF">
        <w:rPr>
          <w:bCs/>
          <w:color w:val="3B3838" w:themeColor="background2" w:themeShade="40"/>
        </w:rPr>
        <w:t xml:space="preserve">. </w:t>
      </w:r>
    </w:p>
    <w:p w14:paraId="55D5D18C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06D4BFAE" w14:textId="20085BDB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i/>
          <w:iCs/>
          <w:color w:val="3B3838" w:themeColor="background2" w:themeShade="40"/>
        </w:rPr>
        <w:t>„</w:t>
      </w:r>
      <w:r w:rsidR="00D07B13">
        <w:rPr>
          <w:bCs/>
          <w:i/>
          <w:iCs/>
          <w:color w:val="3B3838" w:themeColor="background2" w:themeShade="40"/>
        </w:rPr>
        <w:t>I</w:t>
      </w:r>
      <w:r w:rsidRPr="007769EF">
        <w:rPr>
          <w:bCs/>
          <w:i/>
          <w:iCs/>
          <w:color w:val="3B3838" w:themeColor="background2" w:themeShade="40"/>
        </w:rPr>
        <w:t xml:space="preserve">nvestorům </w:t>
      </w:r>
      <w:r w:rsidR="00D07B13">
        <w:rPr>
          <w:bCs/>
          <w:i/>
          <w:iCs/>
          <w:color w:val="3B3838" w:themeColor="background2" w:themeShade="40"/>
        </w:rPr>
        <w:t xml:space="preserve">chceme nabídnout </w:t>
      </w:r>
      <w:r w:rsidRPr="007769EF">
        <w:rPr>
          <w:bCs/>
          <w:i/>
          <w:iCs/>
          <w:color w:val="3B3838" w:themeColor="background2" w:themeShade="40"/>
        </w:rPr>
        <w:t>podíl na vlastnictví projektu prostřednictvím fondu. Stavba celého projektu bude trvat déle než šest let, díky čemuž se pro investory stává velmi zajímavou investicí – a to z pohledu ochrany prostředků během různých ekonomických cyklů,“</w:t>
      </w:r>
      <w:r w:rsidRPr="007769EF">
        <w:rPr>
          <w:bCs/>
          <w:color w:val="3B3838" w:themeColor="background2" w:themeShade="40"/>
        </w:rPr>
        <w:t xml:space="preserve"> uzavírá finanční ředitel skupiny Trikaya Jan Kolařík. </w:t>
      </w:r>
    </w:p>
    <w:p w14:paraId="2ACA2531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28019E5F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>Obytná čtvrť vznikne ve strategické lokalitě Maloměřic a Obřan, pro kterou je charakteristické unikátní propojení města a přírody. V těsné blízkosti Čtvrti Pod Hády se nachází například národní přírodní rezervace Hádecká planinka, která je součástí CHKO Moravský kras.</w:t>
      </w:r>
    </w:p>
    <w:p w14:paraId="6125669F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72DEBFDE" w14:textId="225CCF25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>Projekt, který vzniká v místě zapomenutého brownfieldu, je navržen s důrazem na zelená řešení. Z původní zástavby přebírá část recyklovatelných materiálů a díky využití moderních technologií bude provoz čtvrti udržitelný a umožní úsporné hospodaření</w:t>
      </w:r>
      <w:r w:rsidR="006308F9">
        <w:rPr>
          <w:bCs/>
          <w:color w:val="3B3838" w:themeColor="background2" w:themeShade="40"/>
        </w:rPr>
        <w:br/>
      </w:r>
      <w:r w:rsidRPr="007769EF">
        <w:rPr>
          <w:bCs/>
          <w:color w:val="3B3838" w:themeColor="background2" w:themeShade="40"/>
        </w:rPr>
        <w:t>s vodou. Stavby budou opatřeny zelenými střechami a fotovoltaickými panely. Součástí okolního zázemí projektu bud</w:t>
      </w:r>
      <w:r w:rsidR="00A402FE">
        <w:rPr>
          <w:bCs/>
          <w:color w:val="3B3838" w:themeColor="background2" w:themeShade="40"/>
        </w:rPr>
        <w:t>ou</w:t>
      </w:r>
      <w:r w:rsidRPr="007769EF">
        <w:rPr>
          <w:bCs/>
          <w:color w:val="3B3838" w:themeColor="background2" w:themeShade="40"/>
        </w:rPr>
        <w:t xml:space="preserve"> centrální náměstí, obchody, nabíjecí stanice pro elektromobily či energeticky nenáročné osvětlení. </w:t>
      </w:r>
    </w:p>
    <w:p w14:paraId="6673AD3E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7ECA1EA1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 xml:space="preserve">Spuštění prodeje bytů v rámci první etapy je plánováno spolu se zahájením výstavby na druhé čtvrtletí roku 2023. Nové bydlení z úvodní etapy bude připraveno k nastěhování již v polovině roku 2025. </w:t>
      </w:r>
    </w:p>
    <w:p w14:paraId="2B05F10A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1DFCCB80" w14:textId="77777777" w:rsidR="007769EF" w:rsidRPr="007769EF" w:rsidRDefault="007769EF" w:rsidP="007769EF">
      <w:pPr>
        <w:jc w:val="both"/>
        <w:rPr>
          <w:b/>
          <w:color w:val="3B3838" w:themeColor="background2" w:themeShade="40"/>
        </w:rPr>
      </w:pPr>
      <w:r w:rsidRPr="007769EF">
        <w:rPr>
          <w:b/>
          <w:color w:val="3B3838" w:themeColor="background2" w:themeShade="40"/>
        </w:rPr>
        <w:t>O investičním nemovitostním fondu Trikaya</w:t>
      </w:r>
    </w:p>
    <w:p w14:paraId="0617B031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 xml:space="preserve"> </w:t>
      </w:r>
    </w:p>
    <w:p w14:paraId="55CEEE3D" w14:textId="37242159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 xml:space="preserve">Strategií fondu, jehož zakladatelem je developerská společnost Trikaya s více než </w:t>
      </w:r>
      <w:r w:rsidR="00A402FE">
        <w:rPr>
          <w:bCs/>
          <w:color w:val="3B3838" w:themeColor="background2" w:themeShade="40"/>
        </w:rPr>
        <w:t>třinácti</w:t>
      </w:r>
      <w:r w:rsidRPr="007769EF">
        <w:rPr>
          <w:bCs/>
          <w:color w:val="3B3838" w:themeColor="background2" w:themeShade="40"/>
        </w:rPr>
        <w:t xml:space="preserve">letou zkušeností na realitním trhu, je investovat do komerčních a rezidenčních nemovitostí, které realizuje skupina Trikaya. </w:t>
      </w:r>
    </w:p>
    <w:p w14:paraId="7E967AF7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02465B7E" w14:textId="5A94C9F7" w:rsid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>Developerské projekty skupiny jsou navrženy s ohledem na ekonomickou, sociální</w:t>
      </w:r>
      <w:r w:rsidR="006308F9">
        <w:rPr>
          <w:bCs/>
          <w:color w:val="3B3838" w:themeColor="background2" w:themeShade="40"/>
        </w:rPr>
        <w:br/>
      </w:r>
      <w:r w:rsidRPr="007769EF">
        <w:rPr>
          <w:bCs/>
          <w:color w:val="3B3838" w:themeColor="background2" w:themeShade="40"/>
        </w:rPr>
        <w:t>a environmentální udržitelnost, což dokládají například získané certifikáty BREEAM</w:t>
      </w:r>
      <w:r w:rsidR="006308F9">
        <w:rPr>
          <w:bCs/>
          <w:color w:val="3B3838" w:themeColor="background2" w:themeShade="40"/>
        </w:rPr>
        <w:br/>
      </w:r>
      <w:r w:rsidRPr="007769EF">
        <w:rPr>
          <w:bCs/>
          <w:color w:val="3B3838" w:themeColor="background2" w:themeShade="40"/>
        </w:rPr>
        <w:t>a LEED. Investoři mohou do projektů investovat prostřednictvím zápůjček, dluhopisů nebo majetkové účasti na společnostech ze skupiny Trikaya. Obhospodařovatelem</w:t>
      </w:r>
      <w:r w:rsidR="006308F9">
        <w:rPr>
          <w:bCs/>
          <w:color w:val="3B3838" w:themeColor="background2" w:themeShade="40"/>
        </w:rPr>
        <w:br/>
      </w:r>
      <w:r w:rsidRPr="007769EF">
        <w:rPr>
          <w:bCs/>
          <w:color w:val="3B3838" w:themeColor="background2" w:themeShade="40"/>
        </w:rPr>
        <w:t>a administrátorem fondu je investiční společnost CODYA.</w:t>
      </w:r>
    </w:p>
    <w:p w14:paraId="394ADC2E" w14:textId="370BABAD" w:rsidR="00AE309D" w:rsidRPr="007769EF" w:rsidRDefault="00AE309D" w:rsidP="00AE309D">
      <w:pPr>
        <w:jc w:val="both"/>
        <w:rPr>
          <w:bCs/>
          <w:color w:val="3B3838" w:themeColor="background2" w:themeShade="40"/>
        </w:rPr>
      </w:pPr>
      <w:r w:rsidRPr="00AE309D">
        <w:rPr>
          <w:bCs/>
          <w:color w:val="3B3838" w:themeColor="background2" w:themeShade="40"/>
        </w:rPr>
        <w:t xml:space="preserve"> </w:t>
      </w:r>
    </w:p>
    <w:p w14:paraId="113AB03A" w14:textId="77777777" w:rsidR="00524F98" w:rsidRDefault="00524F98" w:rsidP="00557D2C">
      <w:pPr>
        <w:jc w:val="both"/>
        <w:rPr>
          <w:rFonts w:cstheme="minorHAnsi"/>
          <w:i/>
          <w:iCs/>
        </w:rPr>
      </w:pPr>
    </w:p>
    <w:p w14:paraId="48DF21A2" w14:textId="62527AB7" w:rsidR="00557D2C" w:rsidRPr="007769EF" w:rsidRDefault="00557D2C" w:rsidP="00557D2C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Kontakt pro média:</w:t>
      </w:r>
    </w:p>
    <w:p w14:paraId="1567C437" w14:textId="175DCF17" w:rsidR="00557D2C" w:rsidRPr="007769EF" w:rsidRDefault="000802DB" w:rsidP="00FC59D2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Tashi Erml</w:t>
      </w:r>
      <w:r w:rsidR="00557D2C" w:rsidRPr="007769EF">
        <w:rPr>
          <w:sz w:val="20"/>
          <w:szCs w:val="20"/>
        </w:rPr>
        <w:t xml:space="preserve">, </w:t>
      </w:r>
      <w:proofErr w:type="spellStart"/>
      <w:r w:rsidR="00557D2C" w:rsidRPr="007769EF">
        <w:rPr>
          <w:sz w:val="20"/>
          <w:szCs w:val="20"/>
        </w:rPr>
        <w:t>Ewing</w:t>
      </w:r>
      <w:proofErr w:type="spellEnd"/>
      <w:r w:rsidR="00557D2C" w:rsidRPr="007769EF">
        <w:rPr>
          <w:sz w:val="20"/>
          <w:szCs w:val="20"/>
        </w:rPr>
        <w:t xml:space="preserve">, </w:t>
      </w:r>
      <w:hyperlink r:id="rId10" w:history="1">
        <w:r w:rsidRPr="007769EF">
          <w:rPr>
            <w:rStyle w:val="Hypertextovodkaz"/>
            <w:sz w:val="20"/>
            <w:szCs w:val="20"/>
          </w:rPr>
          <w:t>erml@ewing.cz</w:t>
        </w:r>
      </w:hyperlink>
      <w:r w:rsidR="00557D2C" w:rsidRPr="007769EF">
        <w:rPr>
          <w:sz w:val="20"/>
          <w:szCs w:val="20"/>
        </w:rPr>
        <w:t>; +420</w:t>
      </w:r>
      <w:r w:rsidRPr="007769EF">
        <w:rPr>
          <w:sz w:val="20"/>
          <w:szCs w:val="20"/>
        </w:rPr>
        <w:t> 775 106 886</w:t>
      </w:r>
    </w:p>
    <w:sectPr w:rsidR="00557D2C" w:rsidRPr="007769EF" w:rsidSect="00650EBE">
      <w:headerReference w:type="default" r:id="rId11"/>
      <w:footerReference w:type="default" r:id="rId12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8058" w14:textId="77777777" w:rsidR="004E3C51" w:rsidRDefault="004E3C51" w:rsidP="00FF7F2C">
      <w:pPr>
        <w:spacing w:line="240" w:lineRule="auto"/>
      </w:pPr>
      <w:r>
        <w:separator/>
      </w:r>
    </w:p>
  </w:endnote>
  <w:endnote w:type="continuationSeparator" w:id="0">
    <w:p w14:paraId="26B8F6EB" w14:textId="77777777" w:rsidR="004E3C51" w:rsidRDefault="004E3C51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51C2BE4F" w:rsidR="000802DB" w:rsidRPr="000802DB" w:rsidRDefault="000802DB" w:rsidP="007769EF">
    <w:pPr>
      <w:tabs>
        <w:tab w:val="center" w:pos="4536"/>
        <w:tab w:val="right" w:pos="9072"/>
      </w:tabs>
      <w:spacing w:line="240" w:lineRule="auto"/>
      <w:jc w:val="right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7769EF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 xml:space="preserve"> </w:t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A402FE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402F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4801" w14:textId="77777777" w:rsidR="004E3C51" w:rsidRDefault="004E3C51" w:rsidP="00FF7F2C">
      <w:pPr>
        <w:spacing w:line="240" w:lineRule="auto"/>
      </w:pPr>
      <w:r>
        <w:separator/>
      </w:r>
    </w:p>
  </w:footnote>
  <w:footnote w:type="continuationSeparator" w:id="0">
    <w:p w14:paraId="0FD83A3C" w14:textId="77777777" w:rsidR="004E3C51" w:rsidRDefault="004E3C51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77777777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1075">
    <w:abstractNumId w:val="1"/>
  </w:num>
  <w:num w:numId="2" w16cid:durableId="45949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5C6"/>
    <w:rsid w:val="00030A0F"/>
    <w:rsid w:val="00041778"/>
    <w:rsid w:val="00042EAF"/>
    <w:rsid w:val="000517EF"/>
    <w:rsid w:val="00051BF3"/>
    <w:rsid w:val="000552BF"/>
    <w:rsid w:val="00063625"/>
    <w:rsid w:val="000802DB"/>
    <w:rsid w:val="00081760"/>
    <w:rsid w:val="00090151"/>
    <w:rsid w:val="00090FC2"/>
    <w:rsid w:val="00093C69"/>
    <w:rsid w:val="000974E3"/>
    <w:rsid w:val="000A161B"/>
    <w:rsid w:val="000A2A3F"/>
    <w:rsid w:val="000A5ECB"/>
    <w:rsid w:val="000C7172"/>
    <w:rsid w:val="000D3699"/>
    <w:rsid w:val="000D762C"/>
    <w:rsid w:val="000D7902"/>
    <w:rsid w:val="000D7CD7"/>
    <w:rsid w:val="000E5EDC"/>
    <w:rsid w:val="00112DDD"/>
    <w:rsid w:val="00117DC3"/>
    <w:rsid w:val="00125BF0"/>
    <w:rsid w:val="00136B3F"/>
    <w:rsid w:val="00137506"/>
    <w:rsid w:val="00174816"/>
    <w:rsid w:val="00196BF8"/>
    <w:rsid w:val="001A1CD1"/>
    <w:rsid w:val="001B5C9B"/>
    <w:rsid w:val="001C294D"/>
    <w:rsid w:val="001D68C0"/>
    <w:rsid w:val="001E2E64"/>
    <w:rsid w:val="00215346"/>
    <w:rsid w:val="00226843"/>
    <w:rsid w:val="00236CD0"/>
    <w:rsid w:val="0024186D"/>
    <w:rsid w:val="00252E04"/>
    <w:rsid w:val="0026383B"/>
    <w:rsid w:val="00284095"/>
    <w:rsid w:val="002A070A"/>
    <w:rsid w:val="002A2D0D"/>
    <w:rsid w:val="002A5AEF"/>
    <w:rsid w:val="002B1D7D"/>
    <w:rsid w:val="002C4DC3"/>
    <w:rsid w:val="002D252C"/>
    <w:rsid w:val="002E0CC4"/>
    <w:rsid w:val="002E4F8D"/>
    <w:rsid w:val="002E556E"/>
    <w:rsid w:val="00313B63"/>
    <w:rsid w:val="00333F51"/>
    <w:rsid w:val="00335436"/>
    <w:rsid w:val="003421B5"/>
    <w:rsid w:val="003564F1"/>
    <w:rsid w:val="00361D2D"/>
    <w:rsid w:val="0036294B"/>
    <w:rsid w:val="00384E89"/>
    <w:rsid w:val="00387C21"/>
    <w:rsid w:val="003912C6"/>
    <w:rsid w:val="003B41EB"/>
    <w:rsid w:val="003D300F"/>
    <w:rsid w:val="003E1964"/>
    <w:rsid w:val="003E4E43"/>
    <w:rsid w:val="003F5A03"/>
    <w:rsid w:val="00404240"/>
    <w:rsid w:val="0042580E"/>
    <w:rsid w:val="00431455"/>
    <w:rsid w:val="00433B6F"/>
    <w:rsid w:val="00450609"/>
    <w:rsid w:val="00470263"/>
    <w:rsid w:val="0049675E"/>
    <w:rsid w:val="004D3EE5"/>
    <w:rsid w:val="004D6FF7"/>
    <w:rsid w:val="004D78C5"/>
    <w:rsid w:val="004E18C3"/>
    <w:rsid w:val="004E3C51"/>
    <w:rsid w:val="005043C5"/>
    <w:rsid w:val="005130F6"/>
    <w:rsid w:val="00513970"/>
    <w:rsid w:val="00517ED3"/>
    <w:rsid w:val="0052228D"/>
    <w:rsid w:val="00524F98"/>
    <w:rsid w:val="00542897"/>
    <w:rsid w:val="00551481"/>
    <w:rsid w:val="0055349E"/>
    <w:rsid w:val="00557D2C"/>
    <w:rsid w:val="005635BF"/>
    <w:rsid w:val="005721BD"/>
    <w:rsid w:val="00573A8E"/>
    <w:rsid w:val="005774AA"/>
    <w:rsid w:val="005857C6"/>
    <w:rsid w:val="005A353B"/>
    <w:rsid w:val="005A4F23"/>
    <w:rsid w:val="005B3AB0"/>
    <w:rsid w:val="005B416B"/>
    <w:rsid w:val="005E0A5A"/>
    <w:rsid w:val="005E36F7"/>
    <w:rsid w:val="005F1289"/>
    <w:rsid w:val="00610BFD"/>
    <w:rsid w:val="00623168"/>
    <w:rsid w:val="0062660E"/>
    <w:rsid w:val="006308F9"/>
    <w:rsid w:val="00642798"/>
    <w:rsid w:val="00644099"/>
    <w:rsid w:val="00644A29"/>
    <w:rsid w:val="00650EBE"/>
    <w:rsid w:val="006570B0"/>
    <w:rsid w:val="00681AA3"/>
    <w:rsid w:val="0069165B"/>
    <w:rsid w:val="0069342D"/>
    <w:rsid w:val="006A649F"/>
    <w:rsid w:val="006B48FF"/>
    <w:rsid w:val="006F7FCA"/>
    <w:rsid w:val="00722F2F"/>
    <w:rsid w:val="00723C8D"/>
    <w:rsid w:val="00752232"/>
    <w:rsid w:val="00764A54"/>
    <w:rsid w:val="00765EDC"/>
    <w:rsid w:val="007757A7"/>
    <w:rsid w:val="007769EF"/>
    <w:rsid w:val="00784A27"/>
    <w:rsid w:val="0079652E"/>
    <w:rsid w:val="007A118A"/>
    <w:rsid w:val="007A3DFC"/>
    <w:rsid w:val="007B5B5F"/>
    <w:rsid w:val="007B7A6B"/>
    <w:rsid w:val="007C1863"/>
    <w:rsid w:val="007C1FB8"/>
    <w:rsid w:val="007D602A"/>
    <w:rsid w:val="007D6A80"/>
    <w:rsid w:val="007E011F"/>
    <w:rsid w:val="007E2194"/>
    <w:rsid w:val="007E5AC8"/>
    <w:rsid w:val="008054AB"/>
    <w:rsid w:val="00830F9B"/>
    <w:rsid w:val="00837AE2"/>
    <w:rsid w:val="0084307B"/>
    <w:rsid w:val="00852C42"/>
    <w:rsid w:val="0085461C"/>
    <w:rsid w:val="00881668"/>
    <w:rsid w:val="00897007"/>
    <w:rsid w:val="008D675D"/>
    <w:rsid w:val="008E23D8"/>
    <w:rsid w:val="008F4DE2"/>
    <w:rsid w:val="00902359"/>
    <w:rsid w:val="00904773"/>
    <w:rsid w:val="00912C86"/>
    <w:rsid w:val="00926A1C"/>
    <w:rsid w:val="009325CD"/>
    <w:rsid w:val="009346CC"/>
    <w:rsid w:val="00947865"/>
    <w:rsid w:val="0095361D"/>
    <w:rsid w:val="009563F9"/>
    <w:rsid w:val="00971DD8"/>
    <w:rsid w:val="009A297E"/>
    <w:rsid w:val="009B63E4"/>
    <w:rsid w:val="009C0E8B"/>
    <w:rsid w:val="009D61F6"/>
    <w:rsid w:val="009D765F"/>
    <w:rsid w:val="009E143E"/>
    <w:rsid w:val="009E173E"/>
    <w:rsid w:val="009E2C21"/>
    <w:rsid w:val="00A006C4"/>
    <w:rsid w:val="00A06D29"/>
    <w:rsid w:val="00A25A2F"/>
    <w:rsid w:val="00A402FE"/>
    <w:rsid w:val="00A42394"/>
    <w:rsid w:val="00A4288D"/>
    <w:rsid w:val="00A50B04"/>
    <w:rsid w:val="00A53A70"/>
    <w:rsid w:val="00A620EA"/>
    <w:rsid w:val="00A643A0"/>
    <w:rsid w:val="00A76F2E"/>
    <w:rsid w:val="00A9413F"/>
    <w:rsid w:val="00AB3F03"/>
    <w:rsid w:val="00AB5905"/>
    <w:rsid w:val="00AB7C7B"/>
    <w:rsid w:val="00AD060E"/>
    <w:rsid w:val="00AD35B7"/>
    <w:rsid w:val="00AD4A78"/>
    <w:rsid w:val="00AD5CBA"/>
    <w:rsid w:val="00AD7932"/>
    <w:rsid w:val="00AE309D"/>
    <w:rsid w:val="00B176BB"/>
    <w:rsid w:val="00B3561E"/>
    <w:rsid w:val="00B36900"/>
    <w:rsid w:val="00B4613F"/>
    <w:rsid w:val="00B618EA"/>
    <w:rsid w:val="00B721C3"/>
    <w:rsid w:val="00B82F56"/>
    <w:rsid w:val="00B90754"/>
    <w:rsid w:val="00B94975"/>
    <w:rsid w:val="00BA03D6"/>
    <w:rsid w:val="00BC184D"/>
    <w:rsid w:val="00BC6A3E"/>
    <w:rsid w:val="00BC7DE2"/>
    <w:rsid w:val="00C06E67"/>
    <w:rsid w:val="00C16173"/>
    <w:rsid w:val="00C221B1"/>
    <w:rsid w:val="00C25058"/>
    <w:rsid w:val="00C26CF9"/>
    <w:rsid w:val="00C2713B"/>
    <w:rsid w:val="00C424D2"/>
    <w:rsid w:val="00C44977"/>
    <w:rsid w:val="00C605C0"/>
    <w:rsid w:val="00C625A0"/>
    <w:rsid w:val="00C625C3"/>
    <w:rsid w:val="00C672DF"/>
    <w:rsid w:val="00C81386"/>
    <w:rsid w:val="00C82945"/>
    <w:rsid w:val="00C845BB"/>
    <w:rsid w:val="00C937B8"/>
    <w:rsid w:val="00C94CB3"/>
    <w:rsid w:val="00CA6FB8"/>
    <w:rsid w:val="00CE3DF8"/>
    <w:rsid w:val="00CE7C69"/>
    <w:rsid w:val="00CE7D3F"/>
    <w:rsid w:val="00CF19C7"/>
    <w:rsid w:val="00D07B13"/>
    <w:rsid w:val="00D1042B"/>
    <w:rsid w:val="00D22D33"/>
    <w:rsid w:val="00D3253C"/>
    <w:rsid w:val="00D35280"/>
    <w:rsid w:val="00D41342"/>
    <w:rsid w:val="00D45128"/>
    <w:rsid w:val="00D534B5"/>
    <w:rsid w:val="00D75B18"/>
    <w:rsid w:val="00D95921"/>
    <w:rsid w:val="00DA555E"/>
    <w:rsid w:val="00DC0A05"/>
    <w:rsid w:val="00DF42D9"/>
    <w:rsid w:val="00E16528"/>
    <w:rsid w:val="00E2693A"/>
    <w:rsid w:val="00E312B4"/>
    <w:rsid w:val="00E61331"/>
    <w:rsid w:val="00E7617E"/>
    <w:rsid w:val="00EB2665"/>
    <w:rsid w:val="00EC04AB"/>
    <w:rsid w:val="00F028EF"/>
    <w:rsid w:val="00F60257"/>
    <w:rsid w:val="00F62D40"/>
    <w:rsid w:val="00F82DD6"/>
    <w:rsid w:val="00F97185"/>
    <w:rsid w:val="00FA700F"/>
    <w:rsid w:val="00FC59D2"/>
    <w:rsid w:val="00FC7066"/>
    <w:rsid w:val="00FD11F0"/>
    <w:rsid w:val="00FE59BC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F2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7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d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ml@ew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kay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FECBC9-851B-4351-84F1-7549DF9D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13</cp:revision>
  <cp:lastPrinted>2022-12-13T11:01:00Z</cp:lastPrinted>
  <dcterms:created xsi:type="dcterms:W3CDTF">2022-11-10T10:39:00Z</dcterms:created>
  <dcterms:modified xsi:type="dcterms:W3CDTF">2023-03-16T15:27:00Z</dcterms:modified>
</cp:coreProperties>
</file>