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C798F" w14:textId="5BDE416E" w:rsidR="00E445E5" w:rsidRDefault="00E445E5" w:rsidP="0020314F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86F3642" wp14:editId="56B957B7">
            <wp:simplePos x="0" y="0"/>
            <wp:positionH relativeFrom="margin">
              <wp:posOffset>4984998</wp:posOffset>
            </wp:positionH>
            <wp:positionV relativeFrom="paragraph">
              <wp:posOffset>-88182</wp:posOffset>
            </wp:positionV>
            <wp:extent cx="904240" cy="635635"/>
            <wp:effectExtent l="0" t="0" r="0" b="0"/>
            <wp:wrapNone/>
            <wp:docPr id="11" name="Obrázek 11" descr="Popis: logo tri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logo trikay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EFA08" w14:textId="7270FBFA" w:rsidR="00E445E5" w:rsidRPr="007D1E77" w:rsidRDefault="00E445E5" w:rsidP="00A54FD9">
      <w:pPr>
        <w:spacing w:line="276" w:lineRule="auto"/>
        <w:rPr>
          <w:b/>
          <w:sz w:val="16"/>
          <w:szCs w:val="28"/>
        </w:rPr>
      </w:pPr>
      <w:r w:rsidRPr="007D1E77">
        <w:rPr>
          <w:rFonts w:ascii="Times New Roman" w:eastAsia="SimSun" w:hAnsi="Times New Roman" w:cs="Times New Roman"/>
          <w:szCs w:val="24"/>
          <w:lang w:eastAsia="zh-CN"/>
        </w:rPr>
        <w:t>TISKOVÁ ZPRÁVA</w:t>
      </w:r>
      <w:r w:rsidRPr="007D1E77">
        <w:rPr>
          <w:b/>
          <w:sz w:val="24"/>
          <w:szCs w:val="28"/>
        </w:rPr>
        <w:br/>
      </w:r>
    </w:p>
    <w:p w14:paraId="7F1B2CE6" w14:textId="44201957" w:rsidR="0020314F" w:rsidRPr="007D1E77" w:rsidRDefault="00AA06F4" w:rsidP="007D1E77">
      <w:pPr>
        <w:spacing w:after="240" w:line="276" w:lineRule="auto"/>
        <w:jc w:val="both"/>
        <w:rPr>
          <w:rFonts w:ascii="Arial" w:hAnsi="Arial" w:cs="Arial"/>
          <w:b/>
          <w:sz w:val="26"/>
          <w:szCs w:val="26"/>
        </w:rPr>
      </w:pPr>
      <w:r w:rsidRPr="007D1E77">
        <w:rPr>
          <w:rFonts w:ascii="Arial" w:hAnsi="Arial" w:cs="Arial"/>
          <w:b/>
          <w:sz w:val="26"/>
          <w:szCs w:val="26"/>
        </w:rPr>
        <w:t>Po dvou letech přestaly růst ceny nových bytů v Brně. A</w:t>
      </w:r>
      <w:r w:rsidR="00C435E4" w:rsidRPr="007D1E77">
        <w:rPr>
          <w:rFonts w:ascii="Arial" w:hAnsi="Arial" w:cs="Arial"/>
          <w:b/>
          <w:sz w:val="26"/>
          <w:szCs w:val="26"/>
        </w:rPr>
        <w:t>le</w:t>
      </w:r>
      <w:r w:rsidRPr="007D1E77">
        <w:rPr>
          <w:rFonts w:ascii="Arial" w:hAnsi="Arial" w:cs="Arial"/>
          <w:b/>
          <w:sz w:val="26"/>
          <w:szCs w:val="26"/>
        </w:rPr>
        <w:t>spoň na chvíli</w:t>
      </w:r>
    </w:p>
    <w:p w14:paraId="094DC69B" w14:textId="22335B56" w:rsidR="00AA06F4" w:rsidRDefault="00455FDE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D1E77">
        <w:rPr>
          <w:rFonts w:ascii="Arial" w:hAnsi="Arial" w:cs="Arial"/>
          <w:i/>
          <w:sz w:val="20"/>
          <w:szCs w:val="20"/>
        </w:rPr>
        <w:t xml:space="preserve">Brno </w:t>
      </w:r>
      <w:r w:rsidR="007D1E77" w:rsidRPr="007D1E77">
        <w:rPr>
          <w:rFonts w:ascii="Arial" w:hAnsi="Arial" w:cs="Arial"/>
          <w:i/>
          <w:sz w:val="20"/>
          <w:szCs w:val="20"/>
        </w:rPr>
        <w:t>19</w:t>
      </w:r>
      <w:r w:rsidRPr="007D1E77">
        <w:rPr>
          <w:rFonts w:ascii="Arial" w:hAnsi="Arial" w:cs="Arial"/>
          <w:i/>
          <w:sz w:val="20"/>
          <w:szCs w:val="20"/>
        </w:rPr>
        <w:t xml:space="preserve">. </w:t>
      </w:r>
      <w:r w:rsidR="004313F4" w:rsidRPr="007D1E77">
        <w:rPr>
          <w:rFonts w:ascii="Arial" w:hAnsi="Arial" w:cs="Arial"/>
          <w:i/>
          <w:sz w:val="20"/>
          <w:szCs w:val="20"/>
        </w:rPr>
        <w:t>července</w:t>
      </w:r>
      <w:r w:rsidRPr="007D1E77">
        <w:rPr>
          <w:rFonts w:ascii="Arial" w:hAnsi="Arial" w:cs="Arial"/>
          <w:i/>
          <w:sz w:val="20"/>
          <w:szCs w:val="20"/>
        </w:rPr>
        <w:t xml:space="preserve"> 2018</w:t>
      </w:r>
      <w:r w:rsidR="00AA06F4" w:rsidRPr="007D1E77">
        <w:rPr>
          <w:rFonts w:ascii="Arial" w:hAnsi="Arial" w:cs="Arial"/>
          <w:b/>
          <w:sz w:val="20"/>
          <w:szCs w:val="20"/>
        </w:rPr>
        <w:t> </w:t>
      </w:r>
      <w:r w:rsidR="00847809" w:rsidRPr="00B816F9">
        <w:rPr>
          <w:rFonts w:ascii="Arial" w:hAnsi="Arial" w:cs="Arial"/>
          <w:sz w:val="20"/>
          <w:szCs w:val="20"/>
        </w:rPr>
        <w:t>–</w:t>
      </w:r>
      <w:r w:rsidR="00847809">
        <w:rPr>
          <w:rFonts w:ascii="Arial" w:hAnsi="Arial" w:cs="Arial"/>
          <w:b/>
          <w:sz w:val="20"/>
          <w:szCs w:val="20"/>
        </w:rPr>
        <w:t xml:space="preserve"> </w:t>
      </w:r>
      <w:r w:rsidR="00C435E4" w:rsidRPr="007D1E77">
        <w:rPr>
          <w:rFonts w:ascii="Arial" w:hAnsi="Arial" w:cs="Arial"/>
          <w:b/>
          <w:sz w:val="20"/>
          <w:szCs w:val="20"/>
        </w:rPr>
        <w:t xml:space="preserve">V </w:t>
      </w:r>
      <w:r w:rsidR="00AA06F4" w:rsidRPr="007D1E77">
        <w:rPr>
          <w:rFonts w:ascii="Arial" w:hAnsi="Arial" w:cs="Arial"/>
          <w:b/>
          <w:sz w:val="20"/>
          <w:szCs w:val="20"/>
        </w:rPr>
        <w:t>letošním druhém čtvrtletí</w:t>
      </w:r>
      <w:r w:rsidR="004313F4" w:rsidRPr="007D1E77">
        <w:rPr>
          <w:rFonts w:ascii="Arial" w:hAnsi="Arial" w:cs="Arial"/>
          <w:b/>
          <w:sz w:val="20"/>
          <w:szCs w:val="20"/>
        </w:rPr>
        <w:t xml:space="preserve"> </w:t>
      </w:r>
      <w:r w:rsidR="00C435E4" w:rsidRPr="007D1E77">
        <w:rPr>
          <w:rFonts w:ascii="Arial" w:hAnsi="Arial" w:cs="Arial"/>
          <w:b/>
          <w:sz w:val="20"/>
          <w:szCs w:val="20"/>
        </w:rPr>
        <w:t xml:space="preserve">se </w:t>
      </w:r>
      <w:r w:rsidR="004313F4" w:rsidRPr="007D1E77">
        <w:rPr>
          <w:rFonts w:ascii="Arial" w:hAnsi="Arial" w:cs="Arial"/>
          <w:b/>
          <w:sz w:val="20"/>
          <w:szCs w:val="20"/>
        </w:rPr>
        <w:t>poprvé</w:t>
      </w:r>
      <w:r w:rsidR="00AA06F4" w:rsidRPr="007D1E77">
        <w:rPr>
          <w:rFonts w:ascii="Arial" w:hAnsi="Arial" w:cs="Arial"/>
          <w:b/>
          <w:sz w:val="20"/>
          <w:szCs w:val="20"/>
        </w:rPr>
        <w:t xml:space="preserve"> </w:t>
      </w:r>
      <w:r w:rsidR="00C435E4" w:rsidRPr="007D1E77">
        <w:rPr>
          <w:rFonts w:ascii="Arial" w:hAnsi="Arial" w:cs="Arial"/>
          <w:b/>
          <w:sz w:val="20"/>
          <w:szCs w:val="20"/>
        </w:rPr>
        <w:t xml:space="preserve">od roku 2016 </w:t>
      </w:r>
      <w:r w:rsidR="00AA06F4" w:rsidRPr="007D1E77">
        <w:rPr>
          <w:rFonts w:ascii="Arial" w:hAnsi="Arial" w:cs="Arial"/>
          <w:b/>
          <w:sz w:val="20"/>
          <w:szCs w:val="20"/>
        </w:rPr>
        <w:t>zastavil růst cen</w:t>
      </w:r>
      <w:r w:rsidR="00AA06F4">
        <w:rPr>
          <w:rFonts w:ascii="Arial" w:hAnsi="Arial" w:cs="Arial"/>
          <w:b/>
          <w:sz w:val="20"/>
          <w:szCs w:val="20"/>
        </w:rPr>
        <w:t xml:space="preserve"> nových bytů </w:t>
      </w:r>
      <w:r w:rsidR="00C435E4">
        <w:rPr>
          <w:rFonts w:ascii="Arial" w:hAnsi="Arial" w:cs="Arial"/>
          <w:b/>
          <w:sz w:val="20"/>
          <w:szCs w:val="20"/>
        </w:rPr>
        <w:t>v</w:t>
      </w:r>
      <w:r w:rsidR="00847809">
        <w:rPr>
          <w:rFonts w:ascii="Arial" w:hAnsi="Arial" w:cs="Arial"/>
          <w:b/>
          <w:sz w:val="20"/>
          <w:szCs w:val="20"/>
        </w:rPr>
        <w:t> </w:t>
      </w:r>
      <w:r w:rsidR="00C435E4">
        <w:rPr>
          <w:rFonts w:ascii="Arial" w:hAnsi="Arial" w:cs="Arial"/>
          <w:b/>
          <w:sz w:val="20"/>
          <w:szCs w:val="20"/>
        </w:rPr>
        <w:t>Brně</w:t>
      </w:r>
      <w:bookmarkStart w:id="0" w:name="_GoBack"/>
      <w:r w:rsidR="00847809">
        <w:rPr>
          <w:rFonts w:ascii="Arial" w:hAnsi="Arial" w:cs="Arial"/>
          <w:b/>
          <w:sz w:val="20"/>
          <w:szCs w:val="20"/>
        </w:rPr>
        <w:t>,</w:t>
      </w:r>
      <w:bookmarkEnd w:id="0"/>
      <w:r w:rsidR="00C435E4">
        <w:rPr>
          <w:rFonts w:ascii="Arial" w:hAnsi="Arial" w:cs="Arial"/>
          <w:b/>
          <w:sz w:val="20"/>
          <w:szCs w:val="20"/>
        </w:rPr>
        <w:t xml:space="preserve"> </w:t>
      </w:r>
      <w:r w:rsidR="00AA06F4">
        <w:rPr>
          <w:rFonts w:ascii="Arial" w:hAnsi="Arial" w:cs="Arial"/>
          <w:b/>
          <w:sz w:val="20"/>
          <w:szCs w:val="20"/>
        </w:rPr>
        <w:t xml:space="preserve">a </w:t>
      </w:r>
      <w:r w:rsidR="00C435E4">
        <w:rPr>
          <w:rFonts w:ascii="Arial" w:hAnsi="Arial" w:cs="Arial"/>
          <w:b/>
          <w:sz w:val="20"/>
          <w:szCs w:val="20"/>
        </w:rPr>
        <w:t xml:space="preserve">dokonce i </w:t>
      </w:r>
      <w:r w:rsidR="00AA06F4">
        <w:rPr>
          <w:rFonts w:ascii="Arial" w:hAnsi="Arial" w:cs="Arial"/>
          <w:b/>
          <w:sz w:val="20"/>
          <w:szCs w:val="20"/>
        </w:rPr>
        <w:t>mírně zlevnily.</w:t>
      </w:r>
      <w:r w:rsidR="004313F4">
        <w:rPr>
          <w:rFonts w:ascii="Arial" w:hAnsi="Arial" w:cs="Arial"/>
          <w:b/>
          <w:sz w:val="20"/>
          <w:szCs w:val="20"/>
        </w:rPr>
        <w:t xml:space="preserve"> Zájemci o bydlení </w:t>
      </w:r>
      <w:r w:rsidR="00AA06F4">
        <w:rPr>
          <w:rFonts w:ascii="Arial" w:hAnsi="Arial" w:cs="Arial"/>
          <w:b/>
          <w:sz w:val="20"/>
          <w:szCs w:val="20"/>
        </w:rPr>
        <w:t>teď</w:t>
      </w:r>
      <w:r w:rsidR="004313F4">
        <w:rPr>
          <w:rFonts w:ascii="Arial" w:hAnsi="Arial" w:cs="Arial"/>
          <w:b/>
          <w:sz w:val="20"/>
          <w:szCs w:val="20"/>
        </w:rPr>
        <w:t xml:space="preserve"> za metr čtvereční zaplatí </w:t>
      </w:r>
      <w:r w:rsidR="001B2E21">
        <w:rPr>
          <w:rFonts w:ascii="Arial" w:hAnsi="Arial" w:cs="Arial"/>
          <w:b/>
          <w:sz w:val="20"/>
          <w:szCs w:val="20"/>
        </w:rPr>
        <w:t xml:space="preserve">v průměru </w:t>
      </w:r>
      <w:r w:rsidR="004313F4">
        <w:rPr>
          <w:rFonts w:ascii="Arial" w:hAnsi="Arial" w:cs="Arial"/>
          <w:b/>
          <w:sz w:val="20"/>
          <w:szCs w:val="20"/>
        </w:rPr>
        <w:t xml:space="preserve">necelých 71 500 </w:t>
      </w:r>
      <w:r w:rsidR="00E34E25">
        <w:rPr>
          <w:rFonts w:ascii="Arial" w:hAnsi="Arial" w:cs="Arial"/>
          <w:b/>
          <w:sz w:val="20"/>
          <w:szCs w:val="20"/>
        </w:rPr>
        <w:t xml:space="preserve">Kč, což je o 1 500 korun méně než v předchozím čtvrtletí. </w:t>
      </w:r>
      <w:r w:rsidR="00AA06F4">
        <w:rPr>
          <w:rFonts w:ascii="Arial" w:hAnsi="Arial" w:cs="Arial"/>
          <w:b/>
          <w:sz w:val="20"/>
          <w:szCs w:val="20"/>
        </w:rPr>
        <w:t xml:space="preserve">Přesto jsou prodeje nových bytů v Brně stále </w:t>
      </w:r>
      <w:r w:rsidR="001B2E21">
        <w:rPr>
          <w:rFonts w:ascii="Arial" w:hAnsi="Arial" w:cs="Arial"/>
          <w:b/>
          <w:sz w:val="20"/>
          <w:szCs w:val="20"/>
        </w:rPr>
        <w:t>nízké</w:t>
      </w:r>
      <w:r w:rsidR="00AA06F4">
        <w:rPr>
          <w:rFonts w:ascii="Arial" w:hAnsi="Arial" w:cs="Arial"/>
          <w:b/>
          <w:sz w:val="20"/>
          <w:szCs w:val="20"/>
        </w:rPr>
        <w:t xml:space="preserve">, za druhé čtvrtletí se jich prodalo jen 141. </w:t>
      </w:r>
      <w:r w:rsidR="00327270">
        <w:rPr>
          <w:rFonts w:ascii="Arial" w:hAnsi="Arial" w:cs="Arial"/>
          <w:b/>
          <w:sz w:val="20"/>
          <w:szCs w:val="20"/>
        </w:rPr>
        <w:t>Ačkoliv je v Brně</w:t>
      </w:r>
      <w:r w:rsidR="00AA06F4">
        <w:rPr>
          <w:rFonts w:ascii="Arial" w:hAnsi="Arial" w:cs="Arial"/>
          <w:b/>
          <w:sz w:val="20"/>
          <w:szCs w:val="20"/>
        </w:rPr>
        <w:t xml:space="preserve"> po nových bytech stále velký hlad</w:t>
      </w:r>
      <w:r w:rsidR="00327270">
        <w:rPr>
          <w:rFonts w:ascii="Arial" w:hAnsi="Arial" w:cs="Arial"/>
          <w:b/>
          <w:sz w:val="20"/>
          <w:szCs w:val="20"/>
        </w:rPr>
        <w:t>, problémy s územním plánováním brzdí nové stavby</w:t>
      </w:r>
      <w:r w:rsidR="00AA06F4">
        <w:rPr>
          <w:rFonts w:ascii="Arial" w:hAnsi="Arial" w:cs="Arial"/>
          <w:b/>
          <w:sz w:val="20"/>
          <w:szCs w:val="20"/>
        </w:rPr>
        <w:t xml:space="preserve">. </w:t>
      </w:r>
      <w:r w:rsidR="00AD2B8B">
        <w:rPr>
          <w:rFonts w:ascii="Arial" w:hAnsi="Arial" w:cs="Arial"/>
          <w:b/>
          <w:sz w:val="20"/>
          <w:szCs w:val="20"/>
        </w:rPr>
        <w:t xml:space="preserve">Situace se ale mírně zlepšila, aktuálně mohou lidé vybírat z více než </w:t>
      </w:r>
      <w:r w:rsidR="001B2E21">
        <w:rPr>
          <w:rFonts w:ascii="Arial" w:hAnsi="Arial" w:cs="Arial"/>
          <w:b/>
          <w:sz w:val="20"/>
          <w:szCs w:val="20"/>
        </w:rPr>
        <w:t xml:space="preserve">sedmi stovek </w:t>
      </w:r>
      <w:r w:rsidR="00AD2B8B">
        <w:rPr>
          <w:rFonts w:ascii="Arial" w:hAnsi="Arial" w:cs="Arial"/>
          <w:b/>
          <w:sz w:val="20"/>
          <w:szCs w:val="20"/>
        </w:rPr>
        <w:t>nových bytů</w:t>
      </w:r>
      <w:r w:rsidR="007D1E77">
        <w:rPr>
          <w:rFonts w:ascii="Arial" w:hAnsi="Arial" w:cs="Arial"/>
          <w:b/>
          <w:sz w:val="20"/>
          <w:szCs w:val="20"/>
        </w:rPr>
        <w:t xml:space="preserve">, vyplývá z analýzy společnosti </w:t>
      </w:r>
      <w:proofErr w:type="spellStart"/>
      <w:r w:rsidR="007D1E77">
        <w:rPr>
          <w:rFonts w:ascii="Arial" w:hAnsi="Arial" w:cs="Arial"/>
          <w:b/>
          <w:sz w:val="20"/>
          <w:szCs w:val="20"/>
        </w:rPr>
        <w:t>Trikaya</w:t>
      </w:r>
      <w:proofErr w:type="spellEnd"/>
      <w:r w:rsidR="007D1E77">
        <w:rPr>
          <w:rFonts w:ascii="Arial" w:hAnsi="Arial" w:cs="Arial"/>
          <w:b/>
          <w:sz w:val="20"/>
          <w:szCs w:val="20"/>
        </w:rPr>
        <w:t xml:space="preserve">. </w:t>
      </w:r>
      <w:r w:rsidR="00327270">
        <w:rPr>
          <w:rFonts w:ascii="Arial" w:hAnsi="Arial" w:cs="Arial"/>
          <w:b/>
          <w:sz w:val="20"/>
          <w:szCs w:val="20"/>
        </w:rPr>
        <w:t>D</w:t>
      </w:r>
      <w:r w:rsidR="00A25AE0">
        <w:rPr>
          <w:rFonts w:ascii="Arial" w:hAnsi="Arial" w:cs="Arial"/>
          <w:b/>
          <w:sz w:val="20"/>
          <w:szCs w:val="20"/>
        </w:rPr>
        <w:t xml:space="preserve">alší komplikace </w:t>
      </w:r>
      <w:r w:rsidR="00327270">
        <w:rPr>
          <w:rFonts w:ascii="Arial" w:hAnsi="Arial" w:cs="Arial"/>
          <w:b/>
          <w:sz w:val="20"/>
          <w:szCs w:val="20"/>
        </w:rPr>
        <w:t xml:space="preserve">navíc lidem </w:t>
      </w:r>
      <w:r w:rsidR="00A25AE0">
        <w:rPr>
          <w:rFonts w:ascii="Arial" w:hAnsi="Arial" w:cs="Arial"/>
          <w:b/>
          <w:sz w:val="20"/>
          <w:szCs w:val="20"/>
        </w:rPr>
        <w:t>přináší</w:t>
      </w:r>
      <w:r w:rsidR="00F12EE4">
        <w:rPr>
          <w:rFonts w:ascii="Arial" w:hAnsi="Arial" w:cs="Arial"/>
          <w:b/>
          <w:sz w:val="20"/>
          <w:szCs w:val="20"/>
        </w:rPr>
        <w:t xml:space="preserve"> zpřísnění pravidel pro hypotéky</w:t>
      </w:r>
      <w:r w:rsidR="00A25AE0">
        <w:rPr>
          <w:rFonts w:ascii="Arial" w:hAnsi="Arial" w:cs="Arial"/>
          <w:b/>
          <w:sz w:val="20"/>
          <w:szCs w:val="20"/>
        </w:rPr>
        <w:t>.</w:t>
      </w:r>
    </w:p>
    <w:p w14:paraId="39B18D04" w14:textId="44066F1A" w:rsidR="003A6095" w:rsidRDefault="00AD2B8B" w:rsidP="007D1E77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Brno nutně potřebuje větší bytové projekty</w:t>
      </w:r>
    </w:p>
    <w:p w14:paraId="2BEC7B5A" w14:textId="6E3E3BB4" w:rsidR="00AD2B8B" w:rsidRDefault="00AD2B8B" w:rsidP="00A54FD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poklesem průměrných cen stojí </w:t>
      </w:r>
      <w:r w:rsidR="001B2E21">
        <w:rPr>
          <w:rFonts w:ascii="Arial" w:hAnsi="Arial" w:cs="Arial"/>
          <w:sz w:val="20"/>
          <w:szCs w:val="20"/>
        </w:rPr>
        <w:t xml:space="preserve">spuštění prodeje </w:t>
      </w:r>
      <w:r>
        <w:rPr>
          <w:rFonts w:ascii="Arial" w:hAnsi="Arial" w:cs="Arial"/>
          <w:sz w:val="20"/>
          <w:szCs w:val="20"/>
        </w:rPr>
        <w:t xml:space="preserve">velkých bytových projektů, jako jsou například </w:t>
      </w:r>
      <w:proofErr w:type="spellStart"/>
      <w:r>
        <w:rPr>
          <w:rFonts w:ascii="Arial" w:hAnsi="Arial" w:cs="Arial"/>
          <w:sz w:val="20"/>
          <w:szCs w:val="20"/>
        </w:rPr>
        <w:t>Kamechy</w:t>
      </w:r>
      <w:proofErr w:type="spellEnd"/>
      <w:r>
        <w:rPr>
          <w:rFonts w:ascii="Arial" w:hAnsi="Arial" w:cs="Arial"/>
          <w:sz w:val="20"/>
          <w:szCs w:val="20"/>
        </w:rPr>
        <w:t>. To mělo na ceny okamžitý vliv.</w:t>
      </w:r>
      <w:r w:rsidR="00656012">
        <w:rPr>
          <w:rFonts w:ascii="Arial" w:hAnsi="Arial" w:cs="Arial"/>
          <w:sz w:val="20"/>
          <w:szCs w:val="20"/>
        </w:rPr>
        <w:t xml:space="preserve"> </w:t>
      </w:r>
      <w:r w:rsidR="009E2229">
        <w:rPr>
          <w:rFonts w:ascii="Arial" w:hAnsi="Arial" w:cs="Arial"/>
          <w:sz w:val="20"/>
          <w:szCs w:val="20"/>
        </w:rPr>
        <w:t>„</w:t>
      </w:r>
      <w:r w:rsidR="004313F4" w:rsidRPr="009E2229">
        <w:rPr>
          <w:rFonts w:ascii="Arial" w:hAnsi="Arial" w:cs="Arial"/>
          <w:i/>
          <w:sz w:val="20"/>
          <w:szCs w:val="20"/>
        </w:rPr>
        <w:t xml:space="preserve">Zatímco v uplynulých třech měsících byla průměrná cena </w:t>
      </w:r>
      <w:r w:rsidR="00E34E25" w:rsidRPr="009E2229">
        <w:rPr>
          <w:rFonts w:ascii="Arial" w:hAnsi="Arial" w:cs="Arial"/>
          <w:i/>
          <w:sz w:val="20"/>
          <w:szCs w:val="20"/>
        </w:rPr>
        <w:t>za metr čtvereční 73 tisíc korun, nyní je to díky výstavbě nových levných bytů necelých 71,5 tisíc</w:t>
      </w:r>
      <w:r w:rsidR="00847809">
        <w:rPr>
          <w:rFonts w:ascii="Arial" w:hAnsi="Arial" w:cs="Arial"/>
          <w:i/>
          <w:sz w:val="20"/>
          <w:szCs w:val="20"/>
        </w:rPr>
        <w:t>e</w:t>
      </w:r>
      <w:r w:rsidR="00E34E25" w:rsidRPr="009E2229">
        <w:rPr>
          <w:rFonts w:ascii="Arial" w:hAnsi="Arial" w:cs="Arial"/>
          <w:i/>
          <w:sz w:val="20"/>
          <w:szCs w:val="20"/>
        </w:rPr>
        <w:t xml:space="preserve"> korun.</w:t>
      </w:r>
      <w:r w:rsidR="00221756" w:rsidRPr="009E2229">
        <w:rPr>
          <w:rFonts w:ascii="Arial" w:hAnsi="Arial" w:cs="Arial"/>
          <w:i/>
          <w:sz w:val="20"/>
          <w:szCs w:val="20"/>
        </w:rPr>
        <w:t xml:space="preserve"> Pokles ceny dokládá, že Brno nutně potřebuje velké projekty sídlištního typu, které by uspokojily požad</w:t>
      </w:r>
      <w:r w:rsidR="009E2229" w:rsidRPr="009E2229">
        <w:rPr>
          <w:rFonts w:ascii="Arial" w:hAnsi="Arial" w:cs="Arial"/>
          <w:i/>
          <w:sz w:val="20"/>
          <w:szCs w:val="20"/>
        </w:rPr>
        <w:t xml:space="preserve">avky </w:t>
      </w:r>
      <w:r>
        <w:rPr>
          <w:rFonts w:ascii="Arial" w:hAnsi="Arial" w:cs="Arial"/>
          <w:i/>
          <w:sz w:val="20"/>
          <w:szCs w:val="20"/>
        </w:rPr>
        <w:t xml:space="preserve">lidí </w:t>
      </w:r>
      <w:r w:rsidR="009E2229" w:rsidRPr="009E2229">
        <w:rPr>
          <w:rFonts w:ascii="Arial" w:hAnsi="Arial" w:cs="Arial"/>
          <w:i/>
          <w:sz w:val="20"/>
          <w:szCs w:val="20"/>
        </w:rPr>
        <w:t>po levném bydlení</w:t>
      </w:r>
      <w:r>
        <w:rPr>
          <w:rFonts w:ascii="Arial" w:hAnsi="Arial" w:cs="Arial"/>
          <w:sz w:val="20"/>
          <w:szCs w:val="20"/>
        </w:rPr>
        <w:t xml:space="preserve">. </w:t>
      </w:r>
      <w:r w:rsidRPr="00AD2B8B">
        <w:rPr>
          <w:rFonts w:ascii="Arial" w:hAnsi="Arial" w:cs="Arial"/>
          <w:i/>
          <w:sz w:val="20"/>
          <w:szCs w:val="20"/>
        </w:rPr>
        <w:t>To v Brně chybí</w:t>
      </w:r>
      <w:r>
        <w:rPr>
          <w:rFonts w:ascii="Arial" w:hAnsi="Arial" w:cs="Arial"/>
          <w:sz w:val="20"/>
          <w:szCs w:val="20"/>
        </w:rPr>
        <w:t>,</w:t>
      </w:r>
      <w:r w:rsidR="009E2229">
        <w:rPr>
          <w:rFonts w:ascii="Arial" w:hAnsi="Arial" w:cs="Arial"/>
          <w:sz w:val="20"/>
          <w:szCs w:val="20"/>
        </w:rPr>
        <w:t xml:space="preserve">“ vysvětluje Alexej Veselý, ředitel společnosti </w:t>
      </w:r>
      <w:r w:rsidR="00327270">
        <w:rPr>
          <w:rFonts w:ascii="Arial" w:hAnsi="Arial" w:cs="Arial"/>
          <w:sz w:val="20"/>
          <w:szCs w:val="20"/>
        </w:rPr>
        <w:t xml:space="preserve">Trikaya. </w:t>
      </w:r>
      <w:r>
        <w:rPr>
          <w:rFonts w:ascii="Arial" w:hAnsi="Arial" w:cs="Arial"/>
          <w:sz w:val="20"/>
          <w:szCs w:val="20"/>
        </w:rPr>
        <w:t xml:space="preserve">Hlavní bariérou </w:t>
      </w:r>
      <w:r w:rsidR="00327270">
        <w:rPr>
          <w:rFonts w:ascii="Arial" w:hAnsi="Arial" w:cs="Arial"/>
          <w:sz w:val="20"/>
          <w:szCs w:val="20"/>
        </w:rPr>
        <w:t xml:space="preserve">výstavby nových projektů </w:t>
      </w:r>
      <w:r>
        <w:rPr>
          <w:rFonts w:ascii="Arial" w:hAnsi="Arial" w:cs="Arial"/>
          <w:sz w:val="20"/>
          <w:szCs w:val="20"/>
        </w:rPr>
        <w:t xml:space="preserve">je </w:t>
      </w:r>
      <w:r w:rsidR="00221756" w:rsidRPr="009E2229">
        <w:rPr>
          <w:rFonts w:ascii="Arial" w:hAnsi="Arial" w:cs="Arial"/>
          <w:sz w:val="20"/>
          <w:szCs w:val="20"/>
        </w:rPr>
        <w:t xml:space="preserve">zastaralý územní plán. Ten pochází z roku 1994 a za posledních </w:t>
      </w:r>
      <w:r w:rsidR="00847809">
        <w:rPr>
          <w:rFonts w:ascii="Arial" w:hAnsi="Arial" w:cs="Arial"/>
          <w:sz w:val="20"/>
          <w:szCs w:val="20"/>
        </w:rPr>
        <w:t>sedm</w:t>
      </w:r>
      <w:r w:rsidR="00221756" w:rsidRPr="009E2229">
        <w:rPr>
          <w:rFonts w:ascii="Arial" w:hAnsi="Arial" w:cs="Arial"/>
          <w:sz w:val="20"/>
          <w:szCs w:val="20"/>
        </w:rPr>
        <w:t xml:space="preserve"> let </w:t>
      </w:r>
      <w:r w:rsidR="006D52FB">
        <w:rPr>
          <w:rFonts w:ascii="Arial" w:hAnsi="Arial" w:cs="Arial"/>
          <w:sz w:val="20"/>
          <w:szCs w:val="20"/>
        </w:rPr>
        <w:t>nebyla schválena</w:t>
      </w:r>
      <w:r w:rsidR="00221756" w:rsidRPr="009E2229">
        <w:rPr>
          <w:rFonts w:ascii="Arial" w:hAnsi="Arial" w:cs="Arial"/>
          <w:sz w:val="20"/>
          <w:szCs w:val="20"/>
        </w:rPr>
        <w:t xml:space="preserve"> jediná změna, která by </w:t>
      </w:r>
      <w:r w:rsidR="00327270">
        <w:rPr>
          <w:rFonts w:ascii="Arial" w:hAnsi="Arial" w:cs="Arial"/>
          <w:sz w:val="20"/>
          <w:szCs w:val="20"/>
        </w:rPr>
        <w:t xml:space="preserve">pro </w:t>
      </w:r>
      <w:r w:rsidR="001B2E21">
        <w:rPr>
          <w:rFonts w:ascii="Arial" w:hAnsi="Arial" w:cs="Arial"/>
          <w:sz w:val="20"/>
          <w:szCs w:val="20"/>
        </w:rPr>
        <w:t>vý</w:t>
      </w:r>
      <w:r w:rsidR="006D52FB">
        <w:rPr>
          <w:rFonts w:ascii="Arial" w:hAnsi="Arial" w:cs="Arial"/>
          <w:sz w:val="20"/>
          <w:szCs w:val="20"/>
        </w:rPr>
        <w:t>stavbu</w:t>
      </w:r>
      <w:r w:rsidR="00327270">
        <w:rPr>
          <w:rFonts w:ascii="Arial" w:hAnsi="Arial" w:cs="Arial"/>
          <w:sz w:val="20"/>
          <w:szCs w:val="20"/>
        </w:rPr>
        <w:t xml:space="preserve"> </w:t>
      </w:r>
      <w:r w:rsidR="00C36477">
        <w:rPr>
          <w:rFonts w:ascii="Arial" w:hAnsi="Arial" w:cs="Arial"/>
          <w:sz w:val="20"/>
          <w:szCs w:val="20"/>
        </w:rPr>
        <w:t>poskytla</w:t>
      </w:r>
      <w:r w:rsidR="00327270">
        <w:rPr>
          <w:rFonts w:ascii="Arial" w:hAnsi="Arial" w:cs="Arial"/>
          <w:sz w:val="20"/>
          <w:szCs w:val="20"/>
        </w:rPr>
        <w:t xml:space="preserve"> nové pozemky.</w:t>
      </w:r>
    </w:p>
    <w:p w14:paraId="2A44E637" w14:textId="77777777" w:rsidR="00AD2B8B" w:rsidRPr="00AD2B8B" w:rsidRDefault="00AD2B8B" w:rsidP="007D1E77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D2B8B">
        <w:rPr>
          <w:rFonts w:ascii="Arial" w:hAnsi="Arial" w:cs="Arial"/>
          <w:b/>
          <w:sz w:val="20"/>
          <w:szCs w:val="20"/>
        </w:rPr>
        <w:t>Ani v příštím čtvrtletí by ceny neměly růst</w:t>
      </w:r>
    </w:p>
    <w:p w14:paraId="5B09FF1A" w14:textId="64856778" w:rsidR="00515068" w:rsidRPr="00AD2B8B" w:rsidRDefault="009E2229" w:rsidP="00AD2B8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969A8">
        <w:rPr>
          <w:rFonts w:ascii="Arial" w:hAnsi="Arial" w:cs="Arial"/>
          <w:i/>
          <w:sz w:val="20"/>
          <w:szCs w:val="20"/>
        </w:rPr>
        <w:t>„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Ceny </w:t>
      </w:r>
      <w:r w:rsidR="006D52FB">
        <w:rPr>
          <w:rFonts w:ascii="Arial" w:hAnsi="Arial" w:cs="Arial"/>
          <w:i/>
          <w:sz w:val="20"/>
          <w:szCs w:val="20"/>
        </w:rPr>
        <w:t>rostou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, protože není kde stavět. Jakmile se objeví nové byty, </w:t>
      </w:r>
      <w:r w:rsidR="001B2E21">
        <w:rPr>
          <w:rFonts w:ascii="Arial" w:hAnsi="Arial" w:cs="Arial"/>
          <w:i/>
          <w:sz w:val="20"/>
          <w:szCs w:val="20"/>
        </w:rPr>
        <w:t>brzy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 je lidé rozeberou. To</w:t>
      </w:r>
      <w:r w:rsidR="00327270">
        <w:rPr>
          <w:rFonts w:ascii="Arial" w:hAnsi="Arial" w:cs="Arial"/>
          <w:i/>
          <w:sz w:val="20"/>
          <w:szCs w:val="20"/>
        </w:rPr>
        <w:t xml:space="preserve"> ale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 neustále tlačí na růst cen. Teď se permanentní zdražování </w:t>
      </w:r>
      <w:r w:rsidR="001B2E21">
        <w:rPr>
          <w:rFonts w:ascii="Arial" w:hAnsi="Arial" w:cs="Arial"/>
          <w:i/>
          <w:sz w:val="20"/>
          <w:szCs w:val="20"/>
        </w:rPr>
        <w:t xml:space="preserve">průměrných cen 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na chvíli zastavilo, </w:t>
      </w:r>
      <w:r w:rsidR="001B2E21">
        <w:rPr>
          <w:rFonts w:ascii="Arial" w:hAnsi="Arial" w:cs="Arial"/>
          <w:i/>
          <w:sz w:val="20"/>
          <w:szCs w:val="20"/>
        </w:rPr>
        <w:t>ale je důležité si uvědomit, že průměr ovlivnilo několik málo konkrétních projektů.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 </w:t>
      </w:r>
      <w:r w:rsidR="001B2E21">
        <w:rPr>
          <w:rFonts w:ascii="Arial" w:hAnsi="Arial" w:cs="Arial"/>
          <w:i/>
          <w:sz w:val="20"/>
          <w:szCs w:val="20"/>
        </w:rPr>
        <w:t>Cenový pokles zatím nenaznačuje trend</w:t>
      </w:r>
      <w:r w:rsidR="007969A8" w:rsidRPr="007969A8">
        <w:rPr>
          <w:rFonts w:ascii="Arial" w:hAnsi="Arial" w:cs="Arial"/>
          <w:i/>
          <w:sz w:val="20"/>
          <w:szCs w:val="20"/>
        </w:rPr>
        <w:t>.</w:t>
      </w:r>
      <w:r w:rsidR="00AD2B8B" w:rsidRPr="007969A8">
        <w:rPr>
          <w:rFonts w:ascii="Arial" w:hAnsi="Arial" w:cs="Arial"/>
          <w:i/>
          <w:sz w:val="20"/>
          <w:szCs w:val="20"/>
        </w:rPr>
        <w:t xml:space="preserve"> </w:t>
      </w:r>
      <w:r w:rsidR="007969A8" w:rsidRPr="007969A8">
        <w:rPr>
          <w:rFonts w:ascii="Arial" w:hAnsi="Arial" w:cs="Arial"/>
          <w:i/>
          <w:sz w:val="20"/>
          <w:szCs w:val="20"/>
        </w:rPr>
        <w:t>Byty na trhu za p</w:t>
      </w:r>
      <w:r w:rsidR="007969A8">
        <w:rPr>
          <w:rFonts w:ascii="Arial" w:hAnsi="Arial" w:cs="Arial"/>
          <w:i/>
          <w:sz w:val="20"/>
          <w:szCs w:val="20"/>
        </w:rPr>
        <w:t>ár</w:t>
      </w:r>
      <w:r w:rsidR="007969A8" w:rsidRPr="007969A8">
        <w:rPr>
          <w:rFonts w:ascii="Arial" w:hAnsi="Arial" w:cs="Arial"/>
          <w:i/>
          <w:sz w:val="20"/>
          <w:szCs w:val="20"/>
        </w:rPr>
        <w:t xml:space="preserve"> měsíců zas</w:t>
      </w:r>
      <w:r w:rsidR="006D52FB">
        <w:rPr>
          <w:rFonts w:ascii="Arial" w:hAnsi="Arial" w:cs="Arial"/>
          <w:i/>
          <w:sz w:val="20"/>
          <w:szCs w:val="20"/>
        </w:rPr>
        <w:t>e</w:t>
      </w:r>
      <w:r w:rsidR="007969A8" w:rsidRPr="007969A8">
        <w:rPr>
          <w:rFonts w:ascii="Arial" w:hAnsi="Arial" w:cs="Arial"/>
          <w:i/>
          <w:sz w:val="20"/>
          <w:szCs w:val="20"/>
        </w:rPr>
        <w:t xml:space="preserve"> dojdou a </w:t>
      </w:r>
      <w:r w:rsidR="006D52FB">
        <w:rPr>
          <w:rFonts w:ascii="Arial" w:hAnsi="Arial" w:cs="Arial"/>
          <w:i/>
          <w:sz w:val="20"/>
          <w:szCs w:val="20"/>
        </w:rPr>
        <w:t>ceny se opět zvednou</w:t>
      </w:r>
      <w:r w:rsidR="007969A8" w:rsidRPr="007969A8">
        <w:rPr>
          <w:rFonts w:ascii="Arial" w:hAnsi="Arial" w:cs="Arial"/>
          <w:i/>
          <w:sz w:val="20"/>
          <w:szCs w:val="20"/>
        </w:rPr>
        <w:t>. P</w:t>
      </w:r>
      <w:r w:rsidR="00515068" w:rsidRPr="007969A8">
        <w:rPr>
          <w:rFonts w:ascii="Arial" w:hAnsi="Arial" w:cs="Arial"/>
          <w:i/>
          <w:sz w:val="20"/>
          <w:szCs w:val="20"/>
        </w:rPr>
        <w:t xml:space="preserve">okud se </w:t>
      </w:r>
      <w:r w:rsidR="001B2E21">
        <w:rPr>
          <w:rFonts w:ascii="Arial" w:hAnsi="Arial" w:cs="Arial"/>
          <w:i/>
          <w:sz w:val="20"/>
          <w:szCs w:val="20"/>
        </w:rPr>
        <w:t>pro zlepšení bytové výstavby</w:t>
      </w:r>
      <w:r w:rsidR="00515068" w:rsidRPr="007969A8">
        <w:rPr>
          <w:rFonts w:ascii="Arial" w:hAnsi="Arial" w:cs="Arial"/>
          <w:i/>
          <w:sz w:val="20"/>
          <w:szCs w:val="20"/>
        </w:rPr>
        <w:t xml:space="preserve"> neudělají patřičné změny</w:t>
      </w:r>
      <w:r w:rsidR="007969A8" w:rsidRPr="007969A8">
        <w:rPr>
          <w:rFonts w:ascii="Arial" w:hAnsi="Arial" w:cs="Arial"/>
          <w:i/>
          <w:sz w:val="20"/>
          <w:szCs w:val="20"/>
        </w:rPr>
        <w:t xml:space="preserve">, situace </w:t>
      </w:r>
      <w:r w:rsidR="00D67EEB">
        <w:rPr>
          <w:rFonts w:ascii="Arial" w:hAnsi="Arial" w:cs="Arial"/>
          <w:i/>
          <w:sz w:val="20"/>
          <w:szCs w:val="20"/>
        </w:rPr>
        <w:t>jiná nebude</w:t>
      </w:r>
      <w:r w:rsidR="007969A8" w:rsidRPr="007969A8">
        <w:rPr>
          <w:rFonts w:ascii="Arial" w:hAnsi="Arial" w:cs="Arial"/>
          <w:i/>
          <w:sz w:val="20"/>
          <w:szCs w:val="20"/>
        </w:rPr>
        <w:t>.</w:t>
      </w:r>
      <w:r w:rsidR="00515068" w:rsidRPr="007969A8">
        <w:rPr>
          <w:rFonts w:ascii="Arial" w:hAnsi="Arial" w:cs="Arial"/>
          <w:i/>
          <w:sz w:val="20"/>
          <w:szCs w:val="20"/>
        </w:rPr>
        <w:t xml:space="preserve"> V Brně je </w:t>
      </w:r>
      <w:r w:rsidR="00FD3F0B">
        <w:rPr>
          <w:rFonts w:ascii="Arial" w:hAnsi="Arial" w:cs="Arial"/>
          <w:i/>
          <w:sz w:val="20"/>
          <w:szCs w:val="20"/>
        </w:rPr>
        <w:t>n</w:t>
      </w:r>
      <w:r w:rsidR="00515068" w:rsidRPr="007969A8">
        <w:rPr>
          <w:rFonts w:ascii="Arial" w:hAnsi="Arial" w:cs="Arial"/>
          <w:i/>
          <w:sz w:val="20"/>
          <w:szCs w:val="20"/>
        </w:rPr>
        <w:t>ěkolik větších projektů připraveno, pouze se jejich stavba už roky odkládá</w:t>
      </w:r>
      <w:r w:rsidR="007969A8" w:rsidRPr="007969A8">
        <w:rPr>
          <w:rFonts w:ascii="Arial" w:hAnsi="Arial" w:cs="Arial"/>
          <w:i/>
          <w:sz w:val="20"/>
          <w:szCs w:val="20"/>
        </w:rPr>
        <w:t>. I to</w:t>
      </w:r>
      <w:r w:rsidR="00515068" w:rsidRPr="007969A8">
        <w:rPr>
          <w:rFonts w:ascii="Arial" w:hAnsi="Arial" w:cs="Arial"/>
          <w:i/>
          <w:sz w:val="20"/>
          <w:szCs w:val="20"/>
        </w:rPr>
        <w:t xml:space="preserve"> investorům zvyšuje náklady, které se pak do ceny bytů </w:t>
      </w:r>
      <w:r w:rsidR="007969A8" w:rsidRPr="007969A8">
        <w:rPr>
          <w:rFonts w:ascii="Arial" w:hAnsi="Arial" w:cs="Arial"/>
          <w:i/>
          <w:sz w:val="20"/>
          <w:szCs w:val="20"/>
        </w:rPr>
        <w:t xml:space="preserve">bohužel </w:t>
      </w:r>
      <w:r w:rsidR="007969A8">
        <w:rPr>
          <w:rFonts w:ascii="Arial" w:hAnsi="Arial" w:cs="Arial"/>
          <w:i/>
          <w:sz w:val="20"/>
          <w:szCs w:val="20"/>
        </w:rPr>
        <w:t>promítají,“</w:t>
      </w:r>
      <w:r w:rsidR="00515068">
        <w:rPr>
          <w:rFonts w:ascii="Arial" w:hAnsi="Arial" w:cs="Arial"/>
          <w:sz w:val="20"/>
          <w:szCs w:val="20"/>
        </w:rPr>
        <w:t xml:space="preserve"> doplňuje Veselý.</w:t>
      </w:r>
    </w:p>
    <w:p w14:paraId="10B65E9B" w14:textId="7F8010E9" w:rsidR="00221756" w:rsidRDefault="009E2229" w:rsidP="00A54FD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2A273B3" wp14:editId="10538DB9">
            <wp:simplePos x="0" y="0"/>
            <wp:positionH relativeFrom="margin">
              <wp:posOffset>6985</wp:posOffset>
            </wp:positionH>
            <wp:positionV relativeFrom="paragraph">
              <wp:posOffset>173355</wp:posOffset>
            </wp:positionV>
            <wp:extent cx="5151120" cy="2057400"/>
            <wp:effectExtent l="0" t="0" r="11430" b="0"/>
            <wp:wrapTight wrapText="bothSides">
              <wp:wrapPolygon edited="0">
                <wp:start x="0" y="0"/>
                <wp:lineTo x="0" y="21400"/>
                <wp:lineTo x="21568" y="21400"/>
                <wp:lineTo x="21568" y="0"/>
                <wp:lineTo x="0" y="0"/>
              </wp:wrapPolygon>
            </wp:wrapTight>
            <wp:docPr id="2" name="Graf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493D31-3D99-445C-B529-72FCD80634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281C2" w14:textId="1093341E" w:rsidR="004313F4" w:rsidRDefault="004313F4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070BDA8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028D2DD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2E3371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7830A4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9EF056D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1B01E8F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C91265F" w14:textId="77777777" w:rsidR="00935392" w:rsidRDefault="00935392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9E4D3BC" w14:textId="6AB534CC" w:rsidR="00E34E25" w:rsidRDefault="00FE06FF" w:rsidP="007D1E77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Brně je</w:t>
      </w:r>
      <w:r w:rsidR="00327270">
        <w:rPr>
          <w:rFonts w:ascii="Arial" w:hAnsi="Arial" w:cs="Arial"/>
          <w:b/>
          <w:sz w:val="20"/>
          <w:szCs w:val="20"/>
        </w:rPr>
        <w:t xml:space="preserve"> teď</w:t>
      </w:r>
      <w:r>
        <w:rPr>
          <w:rFonts w:ascii="Arial" w:hAnsi="Arial" w:cs="Arial"/>
          <w:b/>
          <w:sz w:val="20"/>
          <w:szCs w:val="20"/>
        </w:rPr>
        <w:t xml:space="preserve"> z čeho vybírat – v nabídce je přes tisíc bytů</w:t>
      </w:r>
    </w:p>
    <w:p w14:paraId="4ED21C03" w14:textId="109971A6" w:rsidR="00F12EE4" w:rsidRDefault="00FE06FF" w:rsidP="00A54FD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Druhé čtvrtletí je v letošním roce rekordní i co do počtu dostu</w:t>
      </w:r>
      <w:r w:rsidR="00E3506D">
        <w:rPr>
          <w:rFonts w:ascii="Arial" w:hAnsi="Arial" w:cs="Arial"/>
          <w:sz w:val="20"/>
          <w:szCs w:val="20"/>
        </w:rPr>
        <w:t>pných bytů. Z celkových 1</w:t>
      </w:r>
      <w:r w:rsidR="00AE263D">
        <w:rPr>
          <w:rFonts w:ascii="Arial" w:hAnsi="Arial" w:cs="Arial"/>
          <w:sz w:val="20"/>
          <w:szCs w:val="20"/>
        </w:rPr>
        <w:t xml:space="preserve"> </w:t>
      </w:r>
      <w:r w:rsidR="00E3506D">
        <w:rPr>
          <w:rFonts w:ascii="Arial" w:hAnsi="Arial" w:cs="Arial"/>
          <w:sz w:val="20"/>
          <w:szCs w:val="20"/>
        </w:rPr>
        <w:t xml:space="preserve">229 </w:t>
      </w:r>
      <w:r w:rsidR="00F12EE4">
        <w:rPr>
          <w:rFonts w:ascii="Arial" w:hAnsi="Arial" w:cs="Arial"/>
          <w:sz w:val="20"/>
          <w:szCs w:val="20"/>
        </w:rPr>
        <w:t>bytů</w:t>
      </w:r>
      <w:r w:rsidR="00E3506D">
        <w:rPr>
          <w:rFonts w:ascii="Arial" w:hAnsi="Arial" w:cs="Arial"/>
          <w:sz w:val="20"/>
          <w:szCs w:val="20"/>
        </w:rPr>
        <w:t xml:space="preserve"> si </w:t>
      </w:r>
      <w:r w:rsidR="00F12EE4">
        <w:rPr>
          <w:rFonts w:ascii="Arial" w:hAnsi="Arial" w:cs="Arial"/>
          <w:sz w:val="20"/>
          <w:szCs w:val="20"/>
        </w:rPr>
        <w:t xml:space="preserve">už </w:t>
      </w:r>
      <w:r w:rsidR="00327270">
        <w:rPr>
          <w:rFonts w:ascii="Arial" w:hAnsi="Arial" w:cs="Arial"/>
          <w:sz w:val="20"/>
          <w:szCs w:val="20"/>
        </w:rPr>
        <w:t xml:space="preserve">ale </w:t>
      </w:r>
      <w:r w:rsidR="00E3506D">
        <w:rPr>
          <w:rFonts w:ascii="Arial" w:hAnsi="Arial" w:cs="Arial"/>
          <w:sz w:val="20"/>
          <w:szCs w:val="20"/>
        </w:rPr>
        <w:t>zájemci zarezervovali téměř 500 z nich. To je o 42</w:t>
      </w:r>
      <w:r w:rsidR="00F12EE4">
        <w:rPr>
          <w:rFonts w:ascii="Arial" w:hAnsi="Arial" w:cs="Arial"/>
          <w:sz w:val="20"/>
          <w:szCs w:val="20"/>
        </w:rPr>
        <w:t xml:space="preserve"> </w:t>
      </w:r>
      <w:r w:rsidR="00E3506D">
        <w:rPr>
          <w:rFonts w:ascii="Arial" w:hAnsi="Arial" w:cs="Arial"/>
          <w:sz w:val="20"/>
          <w:szCs w:val="20"/>
        </w:rPr>
        <w:t xml:space="preserve">% více než za stejné období v loňském roce. V nabídce jich zůstává ještě přes sedm set. Nejdražší jsou momentálně jednopokojové byty, kde za metr čtvereční zájemce zaplatí 75 100 </w:t>
      </w:r>
      <w:r w:rsidR="00E86875">
        <w:rPr>
          <w:rFonts w:ascii="Arial" w:hAnsi="Arial" w:cs="Arial"/>
          <w:sz w:val="20"/>
          <w:szCs w:val="20"/>
        </w:rPr>
        <w:t xml:space="preserve">korun. Průměrná cena </w:t>
      </w:r>
      <w:r w:rsidR="00C36477">
        <w:rPr>
          <w:rFonts w:ascii="Arial" w:hAnsi="Arial" w:cs="Arial"/>
          <w:sz w:val="20"/>
          <w:szCs w:val="20"/>
        </w:rPr>
        <w:t xml:space="preserve">celého </w:t>
      </w:r>
      <w:r w:rsidR="00E86875">
        <w:rPr>
          <w:rFonts w:ascii="Arial" w:hAnsi="Arial" w:cs="Arial"/>
          <w:sz w:val="20"/>
          <w:szCs w:val="20"/>
        </w:rPr>
        <w:t>dvoupokojového bytu vzrostla za posledních 12 měsíců o bezmála půl</w:t>
      </w:r>
      <w:r w:rsidR="00AE263D">
        <w:rPr>
          <w:rFonts w:ascii="Arial" w:hAnsi="Arial" w:cs="Arial"/>
          <w:sz w:val="20"/>
          <w:szCs w:val="20"/>
        </w:rPr>
        <w:t xml:space="preserve"> </w:t>
      </w:r>
      <w:r w:rsidR="00E86875">
        <w:rPr>
          <w:rFonts w:ascii="Arial" w:hAnsi="Arial" w:cs="Arial"/>
          <w:sz w:val="20"/>
          <w:szCs w:val="20"/>
        </w:rPr>
        <w:t xml:space="preserve">milionu korun. </w:t>
      </w:r>
      <w:r w:rsidR="00E3506D">
        <w:rPr>
          <w:rFonts w:ascii="Arial" w:hAnsi="Arial" w:cs="Arial"/>
          <w:sz w:val="20"/>
          <w:szCs w:val="20"/>
        </w:rPr>
        <w:t xml:space="preserve">V meziročním srovnání je </w:t>
      </w:r>
      <w:r w:rsidR="00E86875">
        <w:rPr>
          <w:rFonts w:ascii="Arial" w:hAnsi="Arial" w:cs="Arial"/>
          <w:sz w:val="20"/>
          <w:szCs w:val="20"/>
        </w:rPr>
        <w:t xml:space="preserve">tedy </w:t>
      </w:r>
      <w:r w:rsidR="00E3506D">
        <w:rPr>
          <w:rFonts w:ascii="Arial" w:hAnsi="Arial" w:cs="Arial"/>
          <w:sz w:val="20"/>
          <w:szCs w:val="20"/>
        </w:rPr>
        <w:t>stále znatelný cenový růst.</w:t>
      </w:r>
    </w:p>
    <w:p w14:paraId="7FE3B4A9" w14:textId="19ECFC00" w:rsidR="007D1E77" w:rsidRPr="007D1E77" w:rsidRDefault="00E86875" w:rsidP="007D1E7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</w:t>
      </w:r>
      <w:r w:rsidRPr="00E86875">
        <w:rPr>
          <w:rFonts w:ascii="Arial" w:hAnsi="Arial" w:cs="Arial"/>
          <w:i/>
          <w:sz w:val="20"/>
          <w:szCs w:val="20"/>
        </w:rPr>
        <w:t xml:space="preserve">Pro </w:t>
      </w:r>
      <w:r w:rsidR="00F12EE4">
        <w:rPr>
          <w:rFonts w:ascii="Arial" w:hAnsi="Arial" w:cs="Arial"/>
          <w:i/>
          <w:sz w:val="20"/>
          <w:szCs w:val="20"/>
        </w:rPr>
        <w:t>lidi</w:t>
      </w:r>
      <w:r w:rsidRPr="00E86875">
        <w:rPr>
          <w:rFonts w:ascii="Arial" w:hAnsi="Arial" w:cs="Arial"/>
          <w:i/>
          <w:sz w:val="20"/>
          <w:szCs w:val="20"/>
        </w:rPr>
        <w:t xml:space="preserve"> se</w:t>
      </w:r>
      <w:r w:rsidR="00F12EE4">
        <w:rPr>
          <w:rFonts w:ascii="Arial" w:hAnsi="Arial" w:cs="Arial"/>
          <w:i/>
          <w:sz w:val="20"/>
          <w:szCs w:val="20"/>
        </w:rPr>
        <w:t xml:space="preserve"> bohužel</w:t>
      </w:r>
      <w:r w:rsidRPr="00E86875">
        <w:rPr>
          <w:rFonts w:ascii="Arial" w:hAnsi="Arial" w:cs="Arial"/>
          <w:i/>
          <w:sz w:val="20"/>
          <w:szCs w:val="20"/>
        </w:rPr>
        <w:t xml:space="preserve"> projevil dvojí efekt zdražení</w:t>
      </w:r>
      <w:r w:rsidR="00F12EE4">
        <w:rPr>
          <w:rFonts w:ascii="Arial" w:hAnsi="Arial" w:cs="Arial"/>
          <w:i/>
          <w:sz w:val="20"/>
          <w:szCs w:val="20"/>
        </w:rPr>
        <w:t xml:space="preserve">, který dělá pro část </w:t>
      </w:r>
      <w:r w:rsidR="00AE263D">
        <w:rPr>
          <w:rFonts w:ascii="Arial" w:hAnsi="Arial" w:cs="Arial"/>
          <w:i/>
          <w:sz w:val="20"/>
          <w:szCs w:val="20"/>
        </w:rPr>
        <w:t xml:space="preserve">z nich </w:t>
      </w:r>
      <w:r w:rsidR="00F12EE4">
        <w:rPr>
          <w:rFonts w:ascii="Arial" w:hAnsi="Arial" w:cs="Arial"/>
          <w:i/>
          <w:sz w:val="20"/>
          <w:szCs w:val="20"/>
        </w:rPr>
        <w:t>byty méně dostupné.</w:t>
      </w:r>
      <w:r w:rsidRPr="00E86875">
        <w:rPr>
          <w:rFonts w:ascii="Arial" w:hAnsi="Arial" w:cs="Arial"/>
          <w:i/>
          <w:sz w:val="20"/>
          <w:szCs w:val="20"/>
        </w:rPr>
        <w:t xml:space="preserve"> Nejenže </w:t>
      </w:r>
      <w:r w:rsidR="00F12EE4">
        <w:rPr>
          <w:rFonts w:ascii="Arial" w:hAnsi="Arial" w:cs="Arial"/>
          <w:i/>
          <w:sz w:val="20"/>
          <w:szCs w:val="20"/>
        </w:rPr>
        <w:t>roste</w:t>
      </w:r>
      <w:r w:rsidRPr="00E86875">
        <w:rPr>
          <w:rFonts w:ascii="Arial" w:hAnsi="Arial" w:cs="Arial"/>
          <w:i/>
          <w:sz w:val="20"/>
          <w:szCs w:val="20"/>
        </w:rPr>
        <w:t xml:space="preserve"> tržní </w:t>
      </w:r>
      <w:r w:rsidR="00F12EE4">
        <w:rPr>
          <w:rFonts w:ascii="Arial" w:hAnsi="Arial" w:cs="Arial"/>
          <w:i/>
          <w:sz w:val="20"/>
          <w:szCs w:val="20"/>
        </w:rPr>
        <w:t>hodnota</w:t>
      </w:r>
      <w:r w:rsidRPr="00E86875">
        <w:rPr>
          <w:rFonts w:ascii="Arial" w:hAnsi="Arial" w:cs="Arial"/>
          <w:i/>
          <w:sz w:val="20"/>
          <w:szCs w:val="20"/>
        </w:rPr>
        <w:t xml:space="preserve"> bytů, ale došlo i</w:t>
      </w:r>
      <w:r w:rsidR="00F12EE4">
        <w:rPr>
          <w:rFonts w:ascii="Arial" w:hAnsi="Arial" w:cs="Arial"/>
          <w:i/>
          <w:sz w:val="20"/>
          <w:szCs w:val="20"/>
        </w:rPr>
        <w:t> </w:t>
      </w:r>
      <w:r w:rsidRPr="00E86875">
        <w:rPr>
          <w:rFonts w:ascii="Arial" w:hAnsi="Arial" w:cs="Arial"/>
          <w:i/>
          <w:sz w:val="20"/>
          <w:szCs w:val="20"/>
        </w:rPr>
        <w:t>ke zdražení a zpřísnění</w:t>
      </w:r>
      <w:r w:rsidR="00F12EE4">
        <w:rPr>
          <w:rFonts w:ascii="Arial" w:hAnsi="Arial" w:cs="Arial"/>
          <w:i/>
          <w:sz w:val="20"/>
          <w:szCs w:val="20"/>
        </w:rPr>
        <w:t xml:space="preserve"> pravidel poskytování</w:t>
      </w:r>
      <w:r w:rsidRPr="00E86875">
        <w:rPr>
          <w:rFonts w:ascii="Arial" w:hAnsi="Arial" w:cs="Arial"/>
          <w:i/>
          <w:sz w:val="20"/>
          <w:szCs w:val="20"/>
        </w:rPr>
        <w:t xml:space="preserve"> hypoték. Před dvěma lety by mladý pár za 2+kk zaplatil 2 750 000 korun s měsíční splátkou hypotéky 8 022 Kč. Dnes by splácel 11 500 Kč a musel by mít naspořeno o dvě stě tisíc </w:t>
      </w:r>
      <w:r w:rsidR="00C36477">
        <w:rPr>
          <w:rFonts w:ascii="Arial" w:hAnsi="Arial" w:cs="Arial"/>
          <w:i/>
          <w:sz w:val="20"/>
          <w:szCs w:val="20"/>
        </w:rPr>
        <w:t xml:space="preserve">korun </w:t>
      </w:r>
      <w:r w:rsidRPr="00E86875">
        <w:rPr>
          <w:rFonts w:ascii="Arial" w:hAnsi="Arial" w:cs="Arial"/>
          <w:i/>
          <w:sz w:val="20"/>
          <w:szCs w:val="20"/>
        </w:rPr>
        <w:t>víc. Mluvíme tedy o reálné</w:t>
      </w:r>
      <w:r w:rsidR="00C36477">
        <w:rPr>
          <w:rFonts w:ascii="Arial" w:hAnsi="Arial" w:cs="Arial"/>
          <w:i/>
          <w:sz w:val="20"/>
          <w:szCs w:val="20"/>
        </w:rPr>
        <w:t>m</w:t>
      </w:r>
      <w:r w:rsidRPr="00E86875">
        <w:rPr>
          <w:rFonts w:ascii="Arial" w:hAnsi="Arial" w:cs="Arial"/>
          <w:i/>
          <w:sz w:val="20"/>
          <w:szCs w:val="20"/>
        </w:rPr>
        <w:t xml:space="preserve"> zdražení nákladů na bydlení o 43 %</w:t>
      </w:r>
      <w:r>
        <w:rPr>
          <w:rFonts w:ascii="Arial" w:hAnsi="Arial" w:cs="Arial"/>
          <w:i/>
          <w:sz w:val="20"/>
          <w:szCs w:val="20"/>
        </w:rPr>
        <w:t>,“ vypočítává Veselý</w:t>
      </w:r>
      <w:r w:rsidRPr="00E86875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XSpec="center" w:tblpY="3289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524"/>
        <w:gridCol w:w="1524"/>
        <w:gridCol w:w="1524"/>
        <w:gridCol w:w="2222"/>
      </w:tblGrid>
      <w:tr w:rsidR="007D1E77" w14:paraId="438295DB" w14:textId="77777777" w:rsidTr="007D1E77">
        <w:trPr>
          <w:trHeight w:val="122"/>
        </w:trPr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2A5E6FB0" w14:textId="77777777" w:rsidR="007D1E77" w:rsidRPr="00742106" w:rsidRDefault="007D1E77" w:rsidP="007D1E77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Dispozice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3EF78F6" w14:textId="77777777" w:rsidR="007D1E77" w:rsidRPr="00742106" w:rsidRDefault="007D1E77" w:rsidP="007D1E77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Cena s DPH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1500322D" w14:textId="77777777" w:rsidR="007D1E77" w:rsidRPr="00742106" w:rsidRDefault="007D1E77" w:rsidP="007D1E77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Velikost bytu</w:t>
            </w:r>
          </w:p>
        </w:tc>
        <w:tc>
          <w:tcPr>
            <w:tcW w:w="2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4391980A" w14:textId="77777777" w:rsidR="007D1E77" w:rsidRPr="00742106" w:rsidRDefault="007D1E77" w:rsidP="007D1E77">
            <w:pPr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Cena za m</w:t>
            </w: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  <w:vertAlign w:val="superscript"/>
              </w:rPr>
              <w:t>2</w:t>
            </w: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 s DPH</w:t>
            </w:r>
            <w:r w:rsidRPr="00742106">
              <w:rPr>
                <w:rStyle w:val="Znakapoznpodarou"/>
                <w:rFonts w:ascii="Arial" w:eastAsia="Calibri" w:hAnsi="Arial" w:cs="Arial"/>
                <w:iCs/>
                <w:color w:val="FFFFFF"/>
              </w:rPr>
              <w:footnoteReference w:id="1"/>
            </w:r>
          </w:p>
        </w:tc>
      </w:tr>
      <w:tr w:rsidR="007D1E77" w14:paraId="615D5C5D" w14:textId="77777777" w:rsidTr="007D1E77">
        <w:trPr>
          <w:trHeight w:val="246"/>
        </w:trPr>
        <w:tc>
          <w:tcPr>
            <w:tcW w:w="15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03BBC908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1+kk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561BDC8C" w14:textId="46A75351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2 750</w:t>
            </w:r>
            <w:r w:rsidR="00847809">
              <w:rPr>
                <w:rFonts w:ascii="Arial" w:eastAsia="Calibri" w:hAnsi="Arial" w:cs="Arial"/>
                <w:iCs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iCs/>
                <w:sz w:val="20"/>
                <w:szCs w:val="20"/>
              </w:rPr>
              <w:t>000</w:t>
            </w:r>
            <w:r w:rsidR="00847809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>Kč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5E8B9E2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36,6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4C2FD078" w14:textId="77777777" w:rsidR="007D1E77" w:rsidRPr="0026057F" w:rsidRDefault="007D1E77" w:rsidP="007D1E77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75 100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7D1E77" w14:paraId="7F6FA107" w14:textId="77777777" w:rsidTr="007D1E77">
        <w:trPr>
          <w:trHeight w:val="246"/>
        </w:trPr>
        <w:tc>
          <w:tcPr>
            <w:tcW w:w="15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5AD54A5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2+kk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5951741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3 800 000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73AA063B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54,5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5CBDFBBE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69 500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7D1E77" w14:paraId="37373DFB" w14:textId="77777777" w:rsidTr="007D1E77">
        <w:trPr>
          <w:trHeight w:val="257"/>
        </w:trPr>
        <w:tc>
          <w:tcPr>
            <w:tcW w:w="152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78819728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3+kk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1E90BF10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5 520 000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31FE8116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78,9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14:paraId="0BAAEC48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69 900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</w:tr>
      <w:tr w:rsidR="007D1E77" w14:paraId="3F16708E" w14:textId="77777777" w:rsidTr="007D1E77">
        <w:trPr>
          <w:trHeight w:val="246"/>
        </w:trPr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14:paraId="5D518605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</w:pPr>
            <w:r w:rsidRPr="00742106">
              <w:rPr>
                <w:rFonts w:ascii="Arial" w:eastAsia="Calibri" w:hAnsi="Arial" w:cs="Arial"/>
                <w:b/>
                <w:bCs/>
                <w:iCs/>
                <w:color w:val="FFFFFF"/>
                <w:sz w:val="20"/>
                <w:szCs w:val="20"/>
              </w:rPr>
              <w:t>4+kk a více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1B8F64BB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7 750 000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Kč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67181786" w14:textId="77777777" w:rsidR="007D1E77" w:rsidRPr="0026057F" w:rsidRDefault="007D1E77" w:rsidP="007D1E77">
            <w:pPr>
              <w:spacing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110,5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 xml:space="preserve"> m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14:paraId="224B555C" w14:textId="77777777" w:rsidR="007D1E77" w:rsidRPr="00742106" w:rsidRDefault="007D1E77" w:rsidP="007D1E77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iCs/>
                <w:sz w:val="20"/>
                <w:szCs w:val="20"/>
              </w:rPr>
              <w:t>70 4</w:t>
            </w:r>
            <w:r w:rsidRPr="00742106">
              <w:rPr>
                <w:rFonts w:ascii="Arial" w:eastAsia="Calibri" w:hAnsi="Arial" w:cs="Arial"/>
                <w:iCs/>
                <w:sz w:val="20"/>
                <w:szCs w:val="20"/>
              </w:rPr>
              <w:t>00 Kč</w:t>
            </w:r>
          </w:p>
        </w:tc>
      </w:tr>
    </w:tbl>
    <w:p w14:paraId="47DB4D53" w14:textId="013B24EC" w:rsidR="00E34E25" w:rsidRPr="00935392" w:rsidRDefault="00FE06FF" w:rsidP="00A353C4">
      <w:pPr>
        <w:jc w:val="center"/>
        <w:rPr>
          <w:rFonts w:ascii="Verdana" w:hAnsi="Verdana" w:cs="Arial"/>
          <w:color w:val="808080" w:themeColor="background1" w:themeShade="80"/>
          <w:szCs w:val="20"/>
        </w:rPr>
      </w:pPr>
      <w:r w:rsidRPr="00E86875">
        <w:rPr>
          <w:rFonts w:ascii="Verdana" w:hAnsi="Verdana" w:cs="Arial"/>
          <w:color w:val="808080" w:themeColor="background1" w:themeShade="80"/>
          <w:szCs w:val="20"/>
        </w:rPr>
        <w:t xml:space="preserve">Průměrné ceny </w:t>
      </w:r>
      <w:r w:rsidR="00F12EE4">
        <w:rPr>
          <w:rFonts w:ascii="Verdana" w:hAnsi="Verdana" w:cs="Arial"/>
          <w:color w:val="808080" w:themeColor="background1" w:themeShade="80"/>
          <w:szCs w:val="20"/>
        </w:rPr>
        <w:t>aktuálně dostupných brněnských</w:t>
      </w:r>
      <w:r w:rsidRPr="00E86875">
        <w:rPr>
          <w:rFonts w:ascii="Verdana" w:hAnsi="Verdana" w:cs="Arial"/>
          <w:color w:val="808080" w:themeColor="background1" w:themeShade="80"/>
          <w:szCs w:val="20"/>
        </w:rPr>
        <w:t xml:space="preserve"> bytů</w:t>
      </w:r>
    </w:p>
    <w:p w14:paraId="43324893" w14:textId="77777777" w:rsidR="00E34E25" w:rsidRDefault="00E34E25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AA666FC" w14:textId="779C86EF" w:rsidR="00FE06FF" w:rsidRDefault="00FE06FF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CC9BC65" w14:textId="06417904" w:rsidR="00FE06FF" w:rsidRDefault="00FE06FF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D68C2F" w14:textId="77777777" w:rsidR="00327270" w:rsidRDefault="00327270" w:rsidP="00A54FD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3362E5F" w14:textId="77777777" w:rsidR="005C70BD" w:rsidRDefault="005C70BD" w:rsidP="00327270">
      <w:pPr>
        <w:spacing w:before="24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3578A91" w14:textId="145A34C8" w:rsidR="004313F4" w:rsidRPr="001822AD" w:rsidRDefault="00E34E25" w:rsidP="007D1E77">
      <w:pPr>
        <w:spacing w:before="36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Prodeje nových bytů klesly na polovinu</w:t>
      </w:r>
    </w:p>
    <w:p w14:paraId="69551CB4" w14:textId="1CE715D0" w:rsidR="00A353C4" w:rsidRPr="007D1E77" w:rsidRDefault="007D1E77" w:rsidP="00A54FD9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445E5">
        <w:rPr>
          <w:rFonts w:ascii="Arial" w:hAnsi="Arial" w:cs="Arial"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65408" behindDoc="0" locked="0" layoutInCell="1" allowOverlap="1" wp14:anchorId="30FF1C8E" wp14:editId="54A64F57">
            <wp:simplePos x="0" y="0"/>
            <wp:positionH relativeFrom="margin">
              <wp:align>left</wp:align>
            </wp:positionH>
            <wp:positionV relativeFrom="page">
              <wp:posOffset>4995545</wp:posOffset>
            </wp:positionV>
            <wp:extent cx="5745480" cy="2196465"/>
            <wp:effectExtent l="0" t="0" r="7620" b="13335"/>
            <wp:wrapSquare wrapText="bothSides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93E180-A990-449A-B303-B62EF0F08B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875">
        <w:rPr>
          <w:rFonts w:ascii="Arial" w:hAnsi="Arial" w:cs="Arial"/>
          <w:sz w:val="20"/>
          <w:szCs w:val="20"/>
        </w:rPr>
        <w:t>Prodeje bytů letos oproti loňsku klesly na polovinu.</w:t>
      </w:r>
      <w:r w:rsidR="000F4BE8" w:rsidRPr="000F4BE8">
        <w:rPr>
          <w:rFonts w:ascii="Arial" w:hAnsi="Arial" w:cs="Arial"/>
          <w:sz w:val="20"/>
          <w:szCs w:val="20"/>
        </w:rPr>
        <w:t xml:space="preserve"> </w:t>
      </w:r>
      <w:r w:rsidR="000F4BE8">
        <w:rPr>
          <w:rFonts w:ascii="Arial" w:hAnsi="Arial" w:cs="Arial"/>
          <w:sz w:val="20"/>
          <w:szCs w:val="20"/>
        </w:rPr>
        <w:t xml:space="preserve">Zatímco v druhém čtvrtletí roku 2017 se prodalo téměř 300 bytů, ve stejném období letošního roku je </w:t>
      </w:r>
      <w:r w:rsidR="001252D3">
        <w:rPr>
          <w:rFonts w:ascii="Arial" w:hAnsi="Arial" w:cs="Arial"/>
          <w:sz w:val="20"/>
          <w:szCs w:val="20"/>
        </w:rPr>
        <w:t xml:space="preserve">jich </w:t>
      </w:r>
      <w:r w:rsidR="000F4BE8">
        <w:rPr>
          <w:rFonts w:ascii="Arial" w:hAnsi="Arial" w:cs="Arial"/>
          <w:sz w:val="20"/>
          <w:szCs w:val="20"/>
        </w:rPr>
        <w:t>pouze 141.</w:t>
      </w:r>
      <w:r w:rsidR="00E86875">
        <w:rPr>
          <w:rFonts w:ascii="Arial" w:hAnsi="Arial" w:cs="Arial"/>
          <w:sz w:val="20"/>
          <w:szCs w:val="20"/>
        </w:rPr>
        <w:t xml:space="preserve"> </w:t>
      </w:r>
      <w:r w:rsidR="006339EC">
        <w:rPr>
          <w:rFonts w:ascii="Arial" w:hAnsi="Arial" w:cs="Arial"/>
          <w:sz w:val="20"/>
          <w:szCs w:val="20"/>
        </w:rPr>
        <w:t>„</w:t>
      </w:r>
      <w:r w:rsidR="000F4BE8" w:rsidRPr="006339EC">
        <w:rPr>
          <w:rFonts w:ascii="Arial" w:hAnsi="Arial" w:cs="Arial"/>
          <w:i/>
          <w:sz w:val="20"/>
          <w:szCs w:val="20"/>
        </w:rPr>
        <w:t xml:space="preserve">Největší zájem byl v uplynulých třech měsících o třípokojové byty, což je poměrně nezvyklé. Opět to dokazuje, že nabídka </w:t>
      </w:r>
      <w:r w:rsidR="001A6B45">
        <w:rPr>
          <w:rFonts w:ascii="Arial" w:hAnsi="Arial" w:cs="Arial"/>
          <w:i/>
          <w:sz w:val="20"/>
          <w:szCs w:val="20"/>
        </w:rPr>
        <w:t>luxusnějších nemovitostí</w:t>
      </w:r>
      <w:r w:rsidR="000F4BE8" w:rsidRPr="006339EC">
        <w:rPr>
          <w:rFonts w:ascii="Arial" w:hAnsi="Arial" w:cs="Arial"/>
          <w:i/>
          <w:sz w:val="20"/>
          <w:szCs w:val="20"/>
        </w:rPr>
        <w:t xml:space="preserve"> je dostatečná</w:t>
      </w:r>
      <w:r w:rsidR="00C36477">
        <w:rPr>
          <w:rFonts w:ascii="Arial" w:hAnsi="Arial" w:cs="Arial"/>
          <w:i/>
          <w:sz w:val="20"/>
          <w:szCs w:val="20"/>
        </w:rPr>
        <w:t xml:space="preserve"> a odpovídá poptávce</w:t>
      </w:r>
      <w:r w:rsidR="000F4BE8" w:rsidRPr="006339EC">
        <w:rPr>
          <w:rFonts w:ascii="Arial" w:hAnsi="Arial" w:cs="Arial"/>
          <w:i/>
          <w:sz w:val="20"/>
          <w:szCs w:val="20"/>
        </w:rPr>
        <w:t xml:space="preserve">, zatímco </w:t>
      </w:r>
      <w:r w:rsidR="001A6B45">
        <w:rPr>
          <w:rFonts w:ascii="Arial" w:hAnsi="Arial" w:cs="Arial"/>
          <w:i/>
          <w:sz w:val="20"/>
          <w:szCs w:val="20"/>
        </w:rPr>
        <w:t>nové levné byty nejsou vůbec a střední cenový segment se prodává méně než dřív</w:t>
      </w:r>
      <w:r w:rsidR="006339EC">
        <w:rPr>
          <w:rFonts w:ascii="Arial" w:hAnsi="Arial" w:cs="Arial"/>
          <w:sz w:val="20"/>
          <w:szCs w:val="20"/>
        </w:rPr>
        <w:t xml:space="preserve">,“ analyzuje Veselý. </w:t>
      </w:r>
      <w:r w:rsidR="000F4BE8">
        <w:rPr>
          <w:rFonts w:ascii="Arial" w:hAnsi="Arial" w:cs="Arial"/>
          <w:sz w:val="20"/>
          <w:szCs w:val="20"/>
        </w:rPr>
        <w:t>V loňském roce se metr čtvereční v garsoniéře prodával za 57 500 korun</w:t>
      </w:r>
      <w:r w:rsidR="006339EC">
        <w:rPr>
          <w:rFonts w:ascii="Arial" w:hAnsi="Arial" w:cs="Arial"/>
          <w:sz w:val="20"/>
          <w:szCs w:val="20"/>
        </w:rPr>
        <w:t>,</w:t>
      </w:r>
      <w:r w:rsidR="000F4BE8">
        <w:rPr>
          <w:rFonts w:ascii="Arial" w:hAnsi="Arial" w:cs="Arial"/>
          <w:sz w:val="20"/>
          <w:szCs w:val="20"/>
        </w:rPr>
        <w:t xml:space="preserve"> nyní je to </w:t>
      </w:r>
      <w:r w:rsidR="006339EC">
        <w:rPr>
          <w:rFonts w:ascii="Arial" w:hAnsi="Arial" w:cs="Arial"/>
          <w:sz w:val="20"/>
          <w:szCs w:val="20"/>
        </w:rPr>
        <w:t>přes 84,5 tisíc</w:t>
      </w:r>
      <w:r w:rsidR="00AE263D">
        <w:rPr>
          <w:rFonts w:ascii="Arial" w:hAnsi="Arial" w:cs="Arial"/>
          <w:sz w:val="20"/>
          <w:szCs w:val="20"/>
        </w:rPr>
        <w:t>e</w:t>
      </w:r>
      <w:r w:rsidR="006339EC">
        <w:rPr>
          <w:rFonts w:ascii="Arial" w:hAnsi="Arial" w:cs="Arial"/>
          <w:sz w:val="20"/>
          <w:szCs w:val="20"/>
        </w:rPr>
        <w:t xml:space="preserve">, což představuje nárůst </w:t>
      </w:r>
      <w:r w:rsidR="00C36477">
        <w:rPr>
          <w:rFonts w:ascii="Arial" w:hAnsi="Arial" w:cs="Arial"/>
          <w:sz w:val="20"/>
          <w:szCs w:val="20"/>
        </w:rPr>
        <w:t xml:space="preserve">o </w:t>
      </w:r>
      <w:r w:rsidR="006339EC">
        <w:rPr>
          <w:rFonts w:ascii="Arial" w:hAnsi="Arial" w:cs="Arial"/>
          <w:sz w:val="20"/>
          <w:szCs w:val="20"/>
        </w:rPr>
        <w:t xml:space="preserve">47 %. </w:t>
      </w:r>
    </w:p>
    <w:p w14:paraId="5B069D55" w14:textId="264372B2" w:rsidR="001252D3" w:rsidRPr="001252D3" w:rsidRDefault="001252D3" w:rsidP="007D1E77">
      <w:pPr>
        <w:spacing w:before="3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252D3">
        <w:rPr>
          <w:rFonts w:ascii="Arial" w:hAnsi="Arial" w:cs="Arial"/>
          <w:b/>
          <w:sz w:val="20"/>
          <w:szCs w:val="20"/>
        </w:rPr>
        <w:t>Pro lidi se středními příjmy jsou byty méně dostupné</w:t>
      </w:r>
    </w:p>
    <w:p w14:paraId="27311E51" w14:textId="21FADD47" w:rsidR="00935392" w:rsidRPr="00935392" w:rsidRDefault="001A6B45" w:rsidP="0093539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těžké situaci se v nejbližších měsících ocitn</w:t>
      </w:r>
      <w:r w:rsidR="001252D3">
        <w:rPr>
          <w:rFonts w:ascii="Arial" w:hAnsi="Arial" w:cs="Arial"/>
          <w:sz w:val="20"/>
          <w:szCs w:val="20"/>
        </w:rPr>
        <w:t>ou lidé se středními příjmy. Právě jim hrozí, že</w:t>
      </w:r>
      <w:r>
        <w:rPr>
          <w:rFonts w:ascii="Arial" w:hAnsi="Arial" w:cs="Arial"/>
          <w:sz w:val="20"/>
          <w:szCs w:val="20"/>
        </w:rPr>
        <w:t xml:space="preserve"> kvůli meziročnímu růstu cen a zdražení hypoték</w:t>
      </w:r>
      <w:r w:rsidR="0040251E">
        <w:rPr>
          <w:rFonts w:ascii="Arial" w:hAnsi="Arial" w:cs="Arial"/>
          <w:sz w:val="20"/>
          <w:szCs w:val="20"/>
        </w:rPr>
        <w:t xml:space="preserve"> </w:t>
      </w:r>
      <w:r w:rsidR="001252D3">
        <w:rPr>
          <w:rFonts w:ascii="Arial" w:hAnsi="Arial" w:cs="Arial"/>
          <w:sz w:val="20"/>
          <w:szCs w:val="20"/>
        </w:rPr>
        <w:t>nedosáhnou</w:t>
      </w:r>
      <w:r>
        <w:rPr>
          <w:rFonts w:ascii="Arial" w:hAnsi="Arial" w:cs="Arial"/>
          <w:sz w:val="20"/>
          <w:szCs w:val="20"/>
        </w:rPr>
        <w:t xml:space="preserve"> na bydlení v</w:t>
      </w:r>
      <w:r w:rsidR="001252D3">
        <w:rPr>
          <w:rFonts w:ascii="Arial" w:hAnsi="Arial" w:cs="Arial"/>
          <w:sz w:val="20"/>
          <w:szCs w:val="20"/>
        </w:rPr>
        <w:t> novostavbách, které staví soukromí investoři. A zároveň bohužel nedosáhnou</w:t>
      </w:r>
      <w:r>
        <w:rPr>
          <w:rFonts w:ascii="Arial" w:hAnsi="Arial" w:cs="Arial"/>
          <w:sz w:val="20"/>
          <w:szCs w:val="20"/>
        </w:rPr>
        <w:t xml:space="preserve"> ani na</w:t>
      </w:r>
      <w:r w:rsidR="001252D3">
        <w:rPr>
          <w:rFonts w:ascii="Arial" w:hAnsi="Arial" w:cs="Arial"/>
          <w:sz w:val="20"/>
          <w:szCs w:val="20"/>
        </w:rPr>
        <w:t xml:space="preserve"> městské</w:t>
      </w:r>
      <w:r>
        <w:rPr>
          <w:rFonts w:ascii="Arial" w:hAnsi="Arial" w:cs="Arial"/>
          <w:sz w:val="20"/>
          <w:szCs w:val="20"/>
        </w:rPr>
        <w:t xml:space="preserve"> sociální bydlen</w:t>
      </w:r>
      <w:r w:rsidR="001252D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, </w:t>
      </w:r>
      <w:r w:rsidR="00C6450E">
        <w:rPr>
          <w:rFonts w:ascii="Arial" w:hAnsi="Arial" w:cs="Arial"/>
          <w:sz w:val="20"/>
          <w:szCs w:val="20"/>
        </w:rPr>
        <w:t xml:space="preserve">jež </w:t>
      </w:r>
      <w:r>
        <w:rPr>
          <w:rFonts w:ascii="Arial" w:hAnsi="Arial" w:cs="Arial"/>
          <w:sz w:val="20"/>
          <w:szCs w:val="20"/>
        </w:rPr>
        <w:t>je vyhrazeno především pro</w:t>
      </w:r>
      <w:r w:rsidR="001252D3">
        <w:rPr>
          <w:rFonts w:ascii="Arial" w:hAnsi="Arial" w:cs="Arial"/>
          <w:sz w:val="20"/>
          <w:szCs w:val="20"/>
        </w:rPr>
        <w:t xml:space="preserve"> pomoc</w:t>
      </w:r>
      <w:r>
        <w:rPr>
          <w:rFonts w:ascii="Arial" w:hAnsi="Arial" w:cs="Arial"/>
          <w:sz w:val="20"/>
          <w:szCs w:val="20"/>
        </w:rPr>
        <w:t xml:space="preserve"> potřebn</w:t>
      </w:r>
      <w:r w:rsidR="001252D3">
        <w:rPr>
          <w:rFonts w:ascii="Arial" w:hAnsi="Arial" w:cs="Arial"/>
          <w:sz w:val="20"/>
          <w:szCs w:val="20"/>
        </w:rPr>
        <w:t xml:space="preserve">ým s velmi nízkými příjmy. </w:t>
      </w:r>
      <w:r w:rsidR="001252D3" w:rsidRPr="001252D3">
        <w:rPr>
          <w:rFonts w:ascii="Arial" w:hAnsi="Arial" w:cs="Arial"/>
          <w:i/>
          <w:sz w:val="20"/>
          <w:szCs w:val="20"/>
        </w:rPr>
        <w:t xml:space="preserve">„Situaci lidí se středními příjmy vyřeší jediná věc. Větší množství bytových </w:t>
      </w:r>
      <w:r w:rsidR="008C124A">
        <w:rPr>
          <w:rFonts w:ascii="Arial" w:hAnsi="Arial" w:cs="Arial"/>
          <w:i/>
          <w:sz w:val="20"/>
          <w:szCs w:val="20"/>
        </w:rPr>
        <w:t>projektů</w:t>
      </w:r>
      <w:r w:rsidR="008C124A" w:rsidRPr="001252D3">
        <w:rPr>
          <w:rFonts w:ascii="Arial" w:hAnsi="Arial" w:cs="Arial"/>
          <w:i/>
          <w:sz w:val="20"/>
          <w:szCs w:val="20"/>
        </w:rPr>
        <w:t xml:space="preserve"> </w:t>
      </w:r>
      <w:r w:rsidR="001252D3" w:rsidRPr="001252D3">
        <w:rPr>
          <w:rFonts w:ascii="Arial" w:hAnsi="Arial" w:cs="Arial"/>
          <w:i/>
          <w:sz w:val="20"/>
          <w:szCs w:val="20"/>
        </w:rPr>
        <w:t xml:space="preserve">sídlištního typu, které budou </w:t>
      </w:r>
      <w:r w:rsidR="008C124A">
        <w:rPr>
          <w:rFonts w:ascii="Arial" w:hAnsi="Arial" w:cs="Arial"/>
          <w:i/>
          <w:sz w:val="20"/>
          <w:szCs w:val="20"/>
        </w:rPr>
        <w:t>ideálně na velkých plochách brownfieldů nebo třeba i na okrajích města</w:t>
      </w:r>
      <w:r w:rsidR="001252D3" w:rsidRPr="001252D3">
        <w:rPr>
          <w:rFonts w:ascii="Arial" w:hAnsi="Arial" w:cs="Arial"/>
          <w:i/>
          <w:sz w:val="20"/>
          <w:szCs w:val="20"/>
        </w:rPr>
        <w:t xml:space="preserve"> a kde budou cenově přijatelné byty</w:t>
      </w:r>
      <w:r w:rsidR="001252D3">
        <w:rPr>
          <w:rFonts w:ascii="Arial" w:hAnsi="Arial" w:cs="Arial"/>
          <w:i/>
          <w:sz w:val="20"/>
          <w:szCs w:val="20"/>
        </w:rPr>
        <w:t>. Jinak tito lidé odejdou za hranice města a najdou si bydlení v</w:t>
      </w:r>
      <w:r w:rsidR="00AE263D">
        <w:rPr>
          <w:rFonts w:ascii="Arial" w:hAnsi="Arial" w:cs="Arial"/>
          <w:i/>
          <w:sz w:val="20"/>
          <w:szCs w:val="20"/>
        </w:rPr>
        <w:t xml:space="preserve"> jeho </w:t>
      </w:r>
      <w:r w:rsidR="001252D3">
        <w:rPr>
          <w:rFonts w:ascii="Arial" w:hAnsi="Arial" w:cs="Arial"/>
          <w:i/>
          <w:sz w:val="20"/>
          <w:szCs w:val="20"/>
        </w:rPr>
        <w:t xml:space="preserve">dojezdové vzdálenosti. Tím se ale dál prohloubí suburbanizace, která Brnu nic dobrého nepřináší. Místo aby lidé žili ve městě, ve kterém chtějí být, nutí </w:t>
      </w:r>
      <w:r w:rsidR="00AE263D">
        <w:rPr>
          <w:rFonts w:ascii="Arial" w:hAnsi="Arial" w:cs="Arial"/>
          <w:i/>
          <w:sz w:val="20"/>
          <w:szCs w:val="20"/>
        </w:rPr>
        <w:t xml:space="preserve">je </w:t>
      </w:r>
      <w:r w:rsidR="001252D3">
        <w:rPr>
          <w:rFonts w:ascii="Arial" w:hAnsi="Arial" w:cs="Arial"/>
          <w:i/>
          <w:sz w:val="20"/>
          <w:szCs w:val="20"/>
        </w:rPr>
        <w:t xml:space="preserve">situace hledat bydlení </w:t>
      </w:r>
      <w:r w:rsidR="003C703E">
        <w:rPr>
          <w:rFonts w:ascii="Arial" w:hAnsi="Arial" w:cs="Arial"/>
          <w:i/>
          <w:sz w:val="20"/>
          <w:szCs w:val="20"/>
        </w:rPr>
        <w:t xml:space="preserve">za jeho hranicemi,“ </w:t>
      </w:r>
      <w:r w:rsidR="003C703E" w:rsidRPr="003C703E">
        <w:rPr>
          <w:rFonts w:ascii="Arial" w:hAnsi="Arial" w:cs="Arial"/>
          <w:sz w:val="20"/>
          <w:szCs w:val="20"/>
        </w:rPr>
        <w:t xml:space="preserve">doplnil ředitel </w:t>
      </w:r>
      <w:r w:rsidR="00AE263D">
        <w:rPr>
          <w:rFonts w:ascii="Arial" w:hAnsi="Arial" w:cs="Arial"/>
          <w:sz w:val="20"/>
          <w:szCs w:val="20"/>
        </w:rPr>
        <w:t xml:space="preserve">společnosti </w:t>
      </w:r>
      <w:proofErr w:type="spellStart"/>
      <w:r w:rsidR="003C703E" w:rsidRPr="003C703E">
        <w:rPr>
          <w:rFonts w:ascii="Arial" w:hAnsi="Arial" w:cs="Arial"/>
          <w:sz w:val="20"/>
          <w:szCs w:val="20"/>
        </w:rPr>
        <w:t>Trikaya</w:t>
      </w:r>
      <w:proofErr w:type="spellEnd"/>
      <w:r w:rsidR="003C703E" w:rsidRPr="003C703E">
        <w:rPr>
          <w:rFonts w:ascii="Arial" w:hAnsi="Arial" w:cs="Arial"/>
          <w:sz w:val="20"/>
          <w:szCs w:val="20"/>
        </w:rPr>
        <w:t xml:space="preserve"> Alex</w:t>
      </w:r>
      <w:r w:rsidR="00AE263D">
        <w:rPr>
          <w:rFonts w:ascii="Arial" w:hAnsi="Arial" w:cs="Arial"/>
          <w:sz w:val="20"/>
          <w:szCs w:val="20"/>
        </w:rPr>
        <w:t>ej</w:t>
      </w:r>
      <w:r w:rsidR="003C703E" w:rsidRPr="003C703E">
        <w:rPr>
          <w:rFonts w:ascii="Arial" w:hAnsi="Arial" w:cs="Arial"/>
          <w:sz w:val="20"/>
          <w:szCs w:val="20"/>
        </w:rPr>
        <w:t xml:space="preserve"> Veselý. </w:t>
      </w:r>
    </w:p>
    <w:p w14:paraId="283156B0" w14:textId="54C2A759" w:rsidR="00E445E5" w:rsidRPr="00E445E5" w:rsidRDefault="00600F40" w:rsidP="007D1E77">
      <w:pPr>
        <w:spacing w:before="24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</w:t>
      </w:r>
    </w:p>
    <w:p w14:paraId="2D11EAC7" w14:textId="0184C638" w:rsidR="00E445E5" w:rsidRPr="00BC2DE6" w:rsidRDefault="00E445E5" w:rsidP="00E445E5">
      <w:pPr>
        <w:pStyle w:val="Bezmezer"/>
        <w:rPr>
          <w:rFonts w:ascii="Arial" w:hAnsi="Arial" w:cs="Arial"/>
          <w:sz w:val="20"/>
          <w:szCs w:val="20"/>
        </w:rPr>
      </w:pPr>
      <w:r w:rsidRPr="00BC2DE6">
        <w:rPr>
          <w:rFonts w:ascii="Arial" w:hAnsi="Arial" w:cs="Arial"/>
          <w:b/>
          <w:sz w:val="20"/>
          <w:szCs w:val="20"/>
        </w:rPr>
        <w:t>Autor analýzy:</w:t>
      </w:r>
      <w:r>
        <w:rPr>
          <w:rFonts w:ascii="Arial" w:hAnsi="Arial" w:cs="Arial"/>
          <w:sz w:val="20"/>
          <w:szCs w:val="20"/>
        </w:rPr>
        <w:t xml:space="preserve"> František Šudřich, obchodní ředitel</w:t>
      </w:r>
      <w:r w:rsidRPr="00BC2DE6">
        <w:rPr>
          <w:rFonts w:ascii="Arial" w:hAnsi="Arial" w:cs="Arial"/>
          <w:sz w:val="20"/>
          <w:szCs w:val="20"/>
        </w:rPr>
        <w:t xml:space="preserve"> společnosti Trikaya</w:t>
      </w:r>
    </w:p>
    <w:p w14:paraId="4BB5423C" w14:textId="42B762CB" w:rsidR="00AD2B8B" w:rsidRPr="00E445E5" w:rsidRDefault="00E445E5" w:rsidP="00E445E5">
      <w:pPr>
        <w:rPr>
          <w:rFonts w:ascii="Arial" w:hAnsi="Arial" w:cs="Arial"/>
          <w:sz w:val="20"/>
          <w:szCs w:val="20"/>
        </w:rPr>
      </w:pPr>
      <w:r w:rsidRPr="00BC2DE6">
        <w:rPr>
          <w:rFonts w:ascii="Arial" w:hAnsi="Arial" w:cs="Arial"/>
          <w:b/>
          <w:sz w:val="20"/>
          <w:szCs w:val="20"/>
        </w:rPr>
        <w:t>Kontakt pro média:</w:t>
      </w:r>
      <w:r w:rsidRPr="00BC2DE6">
        <w:rPr>
          <w:rFonts w:ascii="Arial" w:hAnsi="Arial" w:cs="Arial"/>
          <w:sz w:val="20"/>
          <w:szCs w:val="20"/>
        </w:rPr>
        <w:t xml:space="preserve"> Tereza Holá</w:t>
      </w:r>
      <w:r>
        <w:rPr>
          <w:rFonts w:ascii="Arial" w:hAnsi="Arial" w:cs="Arial"/>
          <w:sz w:val="20"/>
          <w:szCs w:val="20"/>
        </w:rPr>
        <w:t>,</w:t>
      </w:r>
      <w:r w:rsidRPr="00BC2DE6">
        <w:rPr>
          <w:rFonts w:ascii="Arial" w:hAnsi="Arial" w:cs="Arial"/>
          <w:sz w:val="20"/>
          <w:szCs w:val="20"/>
        </w:rPr>
        <w:t xml:space="preserve"> Ewing PR; </w:t>
      </w:r>
      <w:hyperlink r:id="rId11" w:history="1">
        <w:r w:rsidRPr="00BC2DE6">
          <w:rPr>
            <w:rStyle w:val="Hypertextovodkaz"/>
            <w:rFonts w:ascii="Arial" w:hAnsi="Arial" w:cs="Arial"/>
            <w:sz w:val="20"/>
            <w:szCs w:val="20"/>
          </w:rPr>
          <w:t>hola@ewingpr.cz</w:t>
        </w:r>
      </w:hyperlink>
      <w:r w:rsidRPr="00BC2DE6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</w:t>
      </w:r>
      <w:r w:rsidRPr="00BC2DE6">
        <w:rPr>
          <w:rFonts w:ascii="Arial" w:hAnsi="Arial" w:cs="Arial"/>
          <w:sz w:val="20"/>
          <w:szCs w:val="20"/>
        </w:rPr>
        <w:t>el.: 603 246</w:t>
      </w:r>
      <w:r w:rsidR="00AD2B8B">
        <w:rPr>
          <w:rFonts w:ascii="Arial" w:hAnsi="Arial" w:cs="Arial"/>
          <w:sz w:val="20"/>
          <w:szCs w:val="20"/>
        </w:rPr>
        <w:t> </w:t>
      </w:r>
      <w:r w:rsidRPr="00BC2DE6">
        <w:rPr>
          <w:rFonts w:ascii="Arial" w:hAnsi="Arial" w:cs="Arial"/>
          <w:sz w:val="20"/>
          <w:szCs w:val="20"/>
        </w:rPr>
        <w:t>206</w:t>
      </w:r>
    </w:p>
    <w:sectPr w:rsidR="00AD2B8B" w:rsidRPr="00E445E5" w:rsidSect="00F315BB">
      <w:headerReference w:type="defaul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50154" w14:textId="77777777" w:rsidR="00C55E20" w:rsidRDefault="00C55E20" w:rsidP="0026057F">
      <w:pPr>
        <w:spacing w:after="0" w:line="240" w:lineRule="auto"/>
      </w:pPr>
      <w:r>
        <w:separator/>
      </w:r>
    </w:p>
  </w:endnote>
  <w:endnote w:type="continuationSeparator" w:id="0">
    <w:p w14:paraId="661441C2" w14:textId="77777777" w:rsidR="00C55E20" w:rsidRDefault="00C55E20" w:rsidP="0026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386E9" w14:textId="77777777" w:rsidR="00C55E20" w:rsidRDefault="00C55E20" w:rsidP="0026057F">
      <w:pPr>
        <w:spacing w:after="0" w:line="240" w:lineRule="auto"/>
      </w:pPr>
      <w:r>
        <w:separator/>
      </w:r>
    </w:p>
  </w:footnote>
  <w:footnote w:type="continuationSeparator" w:id="0">
    <w:p w14:paraId="2DC4F4FD" w14:textId="77777777" w:rsidR="00C55E20" w:rsidRDefault="00C55E20" w:rsidP="0026057F">
      <w:pPr>
        <w:spacing w:after="0" w:line="240" w:lineRule="auto"/>
      </w:pPr>
      <w:r>
        <w:continuationSeparator/>
      </w:r>
    </w:p>
  </w:footnote>
  <w:footnote w:id="1">
    <w:p w14:paraId="5AE8D206" w14:textId="26C4D3D6" w:rsidR="007D1E77" w:rsidRDefault="007D1E77" w:rsidP="007D1E77">
      <w:pPr>
        <w:pStyle w:val="Textpoznpodarou"/>
      </w:pPr>
      <w:r>
        <w:rPr>
          <w:rStyle w:val="Znakapoznpodarou"/>
        </w:rPr>
        <w:footnoteRef/>
      </w:r>
      <w:r>
        <w:t xml:space="preserve"> Počítána jako dostupná cena bytu s DPH dělena podlahovou plochou uváděnou developerem (nejčastěji celková podlahová plocha dle NOZ)</w:t>
      </w:r>
      <w:r w:rsidR="00847809">
        <w:t>.</w:t>
      </w:r>
      <w:r w:rsidRPr="00895F47">
        <w:rPr>
          <w:noProof/>
          <w:lang w:eastAsia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C93FA" w14:textId="04D9D9AD" w:rsidR="00E445E5" w:rsidRDefault="00E445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48070C1" wp14:editId="10DDCD69">
          <wp:simplePos x="0" y="0"/>
          <wp:positionH relativeFrom="margin">
            <wp:posOffset>-906449</wp:posOffset>
          </wp:positionH>
          <wp:positionV relativeFrom="paragraph">
            <wp:posOffset>-448310</wp:posOffset>
          </wp:positionV>
          <wp:extent cx="7590790" cy="614680"/>
          <wp:effectExtent l="0" t="0" r="0" b="0"/>
          <wp:wrapTight wrapText="bothSides">
            <wp:wrapPolygon edited="0">
              <wp:start x="0" y="0"/>
              <wp:lineTo x="0" y="20752"/>
              <wp:lineTo x="21520" y="20752"/>
              <wp:lineTo x="21520" y="0"/>
              <wp:lineTo x="0" y="0"/>
            </wp:wrapPolygon>
          </wp:wrapTight>
          <wp:docPr id="12" name="Obrázek 12" descr="hlavi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83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614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E6432"/>
    <w:multiLevelType w:val="hybridMultilevel"/>
    <w:tmpl w:val="3D6CB720"/>
    <w:lvl w:ilvl="0" w:tplc="C82E0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46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A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4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8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C0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2C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43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6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67"/>
    <w:rsid w:val="0000124A"/>
    <w:rsid w:val="00005AEF"/>
    <w:rsid w:val="000375E6"/>
    <w:rsid w:val="00054B6A"/>
    <w:rsid w:val="00067082"/>
    <w:rsid w:val="00072DE1"/>
    <w:rsid w:val="000C03CF"/>
    <w:rsid w:val="000D770A"/>
    <w:rsid w:val="000E1DC6"/>
    <w:rsid w:val="000E7C05"/>
    <w:rsid w:val="000F4BE8"/>
    <w:rsid w:val="000F6C66"/>
    <w:rsid w:val="00104FC5"/>
    <w:rsid w:val="001125B8"/>
    <w:rsid w:val="0011729E"/>
    <w:rsid w:val="00120CED"/>
    <w:rsid w:val="001252D3"/>
    <w:rsid w:val="001302B0"/>
    <w:rsid w:val="00135746"/>
    <w:rsid w:val="00152CD7"/>
    <w:rsid w:val="00154949"/>
    <w:rsid w:val="00180D02"/>
    <w:rsid w:val="001822AD"/>
    <w:rsid w:val="001A6B45"/>
    <w:rsid w:val="001B2E21"/>
    <w:rsid w:val="001B5B6C"/>
    <w:rsid w:val="001B6102"/>
    <w:rsid w:val="001B6A9D"/>
    <w:rsid w:val="001C1541"/>
    <w:rsid w:val="001C7302"/>
    <w:rsid w:val="001E32A0"/>
    <w:rsid w:val="0020314F"/>
    <w:rsid w:val="00210767"/>
    <w:rsid w:val="002144EC"/>
    <w:rsid w:val="00221756"/>
    <w:rsid w:val="002301B0"/>
    <w:rsid w:val="00252963"/>
    <w:rsid w:val="0026057F"/>
    <w:rsid w:val="00261A1D"/>
    <w:rsid w:val="002C14DC"/>
    <w:rsid w:val="002C2C04"/>
    <w:rsid w:val="002C485F"/>
    <w:rsid w:val="002D2604"/>
    <w:rsid w:val="002E5AC5"/>
    <w:rsid w:val="002F32F3"/>
    <w:rsid w:val="002F6110"/>
    <w:rsid w:val="0031739E"/>
    <w:rsid w:val="00327270"/>
    <w:rsid w:val="003359BD"/>
    <w:rsid w:val="00346122"/>
    <w:rsid w:val="003513FA"/>
    <w:rsid w:val="00364628"/>
    <w:rsid w:val="00367C9E"/>
    <w:rsid w:val="00370B6A"/>
    <w:rsid w:val="00377EE9"/>
    <w:rsid w:val="00385F14"/>
    <w:rsid w:val="003A6095"/>
    <w:rsid w:val="003A64FF"/>
    <w:rsid w:val="003C703E"/>
    <w:rsid w:val="003E09D2"/>
    <w:rsid w:val="003E2190"/>
    <w:rsid w:val="003F663F"/>
    <w:rsid w:val="0040251E"/>
    <w:rsid w:val="004076D0"/>
    <w:rsid w:val="004237C1"/>
    <w:rsid w:val="00424397"/>
    <w:rsid w:val="00425BAB"/>
    <w:rsid w:val="004313F4"/>
    <w:rsid w:val="00455FDE"/>
    <w:rsid w:val="0048186B"/>
    <w:rsid w:val="00482BF5"/>
    <w:rsid w:val="00496ED3"/>
    <w:rsid w:val="004A1B18"/>
    <w:rsid w:val="004B32B1"/>
    <w:rsid w:val="004F7FD9"/>
    <w:rsid w:val="00515068"/>
    <w:rsid w:val="00527667"/>
    <w:rsid w:val="00535F1B"/>
    <w:rsid w:val="0055334F"/>
    <w:rsid w:val="00564D7E"/>
    <w:rsid w:val="00585AC0"/>
    <w:rsid w:val="005A314C"/>
    <w:rsid w:val="005B1B6E"/>
    <w:rsid w:val="005C1C39"/>
    <w:rsid w:val="005C6BAD"/>
    <w:rsid w:val="005C70BD"/>
    <w:rsid w:val="005D3EB6"/>
    <w:rsid w:val="00600F40"/>
    <w:rsid w:val="006022CB"/>
    <w:rsid w:val="00614B99"/>
    <w:rsid w:val="006339EC"/>
    <w:rsid w:val="00656012"/>
    <w:rsid w:val="00667DE1"/>
    <w:rsid w:val="006758A1"/>
    <w:rsid w:val="006A6664"/>
    <w:rsid w:val="006D52FB"/>
    <w:rsid w:val="006F42DA"/>
    <w:rsid w:val="00705E24"/>
    <w:rsid w:val="00724140"/>
    <w:rsid w:val="00760D76"/>
    <w:rsid w:val="00786D08"/>
    <w:rsid w:val="007969A8"/>
    <w:rsid w:val="007C0C84"/>
    <w:rsid w:val="007D1E77"/>
    <w:rsid w:val="007E271E"/>
    <w:rsid w:val="007F46D6"/>
    <w:rsid w:val="007F6D0E"/>
    <w:rsid w:val="007F747A"/>
    <w:rsid w:val="0080682F"/>
    <w:rsid w:val="00810DBC"/>
    <w:rsid w:val="00813690"/>
    <w:rsid w:val="00816DB5"/>
    <w:rsid w:val="008264D0"/>
    <w:rsid w:val="00847809"/>
    <w:rsid w:val="00882626"/>
    <w:rsid w:val="00882E38"/>
    <w:rsid w:val="008850BB"/>
    <w:rsid w:val="008A6A81"/>
    <w:rsid w:val="008B38CF"/>
    <w:rsid w:val="008B54BA"/>
    <w:rsid w:val="008B6A01"/>
    <w:rsid w:val="008C124A"/>
    <w:rsid w:val="008D2C13"/>
    <w:rsid w:val="008D76F9"/>
    <w:rsid w:val="008E3A55"/>
    <w:rsid w:val="00934C50"/>
    <w:rsid w:val="00935392"/>
    <w:rsid w:val="00956F6B"/>
    <w:rsid w:val="009C7D4F"/>
    <w:rsid w:val="009D0FD5"/>
    <w:rsid w:val="009D27A7"/>
    <w:rsid w:val="009E2229"/>
    <w:rsid w:val="00A06880"/>
    <w:rsid w:val="00A25AE0"/>
    <w:rsid w:val="00A353C4"/>
    <w:rsid w:val="00A54FD9"/>
    <w:rsid w:val="00A87F8D"/>
    <w:rsid w:val="00AA06F4"/>
    <w:rsid w:val="00AA5399"/>
    <w:rsid w:val="00AD2B8B"/>
    <w:rsid w:val="00AD6A01"/>
    <w:rsid w:val="00AE263D"/>
    <w:rsid w:val="00AE5391"/>
    <w:rsid w:val="00B128E5"/>
    <w:rsid w:val="00B30809"/>
    <w:rsid w:val="00B32BF7"/>
    <w:rsid w:val="00B56B10"/>
    <w:rsid w:val="00B75F9F"/>
    <w:rsid w:val="00B816F9"/>
    <w:rsid w:val="00B8725A"/>
    <w:rsid w:val="00B95EA8"/>
    <w:rsid w:val="00B9748A"/>
    <w:rsid w:val="00BC5C6B"/>
    <w:rsid w:val="00BE5C03"/>
    <w:rsid w:val="00BF4B22"/>
    <w:rsid w:val="00C36477"/>
    <w:rsid w:val="00C435E4"/>
    <w:rsid w:val="00C44300"/>
    <w:rsid w:val="00C55E20"/>
    <w:rsid w:val="00C6450E"/>
    <w:rsid w:val="00C72B1D"/>
    <w:rsid w:val="00C751C9"/>
    <w:rsid w:val="00C77042"/>
    <w:rsid w:val="00C80FC5"/>
    <w:rsid w:val="00CA399E"/>
    <w:rsid w:val="00CB1112"/>
    <w:rsid w:val="00CC4B00"/>
    <w:rsid w:val="00CF6F10"/>
    <w:rsid w:val="00D04A74"/>
    <w:rsid w:val="00D05234"/>
    <w:rsid w:val="00D073A5"/>
    <w:rsid w:val="00D20503"/>
    <w:rsid w:val="00D20AFF"/>
    <w:rsid w:val="00D435AF"/>
    <w:rsid w:val="00D67EEB"/>
    <w:rsid w:val="00D9111C"/>
    <w:rsid w:val="00DF355A"/>
    <w:rsid w:val="00E00771"/>
    <w:rsid w:val="00E07873"/>
    <w:rsid w:val="00E34E25"/>
    <w:rsid w:val="00E3506D"/>
    <w:rsid w:val="00E4414B"/>
    <w:rsid w:val="00E445E5"/>
    <w:rsid w:val="00E5054E"/>
    <w:rsid w:val="00E62A7E"/>
    <w:rsid w:val="00E709E6"/>
    <w:rsid w:val="00E86875"/>
    <w:rsid w:val="00EA4287"/>
    <w:rsid w:val="00EB08E1"/>
    <w:rsid w:val="00EC298B"/>
    <w:rsid w:val="00ED456B"/>
    <w:rsid w:val="00EE4408"/>
    <w:rsid w:val="00EE53F0"/>
    <w:rsid w:val="00EF5036"/>
    <w:rsid w:val="00F05344"/>
    <w:rsid w:val="00F10509"/>
    <w:rsid w:val="00F12EE4"/>
    <w:rsid w:val="00F26EA3"/>
    <w:rsid w:val="00F315BB"/>
    <w:rsid w:val="00F6696E"/>
    <w:rsid w:val="00F71DD3"/>
    <w:rsid w:val="00FB089E"/>
    <w:rsid w:val="00FC23A6"/>
    <w:rsid w:val="00FC32E5"/>
    <w:rsid w:val="00FD3F0B"/>
    <w:rsid w:val="00FE06FF"/>
    <w:rsid w:val="00FE5089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124C"/>
  <w15:chartTrackingRefBased/>
  <w15:docId w15:val="{406E8980-9047-4149-956A-FC3ECBB6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76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3">
    <w:name w:val="Styl3"/>
    <w:basedOn w:val="Standardnpsmoodstavce"/>
    <w:rsid w:val="00135746"/>
    <w:rPr>
      <w:rFonts w:asciiTheme="minorHAnsi" w:hAnsiTheme="minorHAnsi"/>
      <w:bdr w:val="none" w:sz="0" w:space="0" w:color="auto"/>
      <w:shd w:val="clear" w:color="auto" w:fill="FFFF00"/>
    </w:rPr>
  </w:style>
  <w:style w:type="character" w:customStyle="1" w:styleId="Nadpis1Char">
    <w:name w:val="Nadpis 1 Char"/>
    <w:basedOn w:val="Standardnpsmoodstavce"/>
    <w:link w:val="Nadpis1"/>
    <w:uiPriority w:val="9"/>
    <w:rsid w:val="00527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52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2605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6057F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uiPriority w:val="99"/>
    <w:unhideWhenUsed/>
    <w:rsid w:val="002605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82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2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2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B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BF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4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5E5"/>
  </w:style>
  <w:style w:type="paragraph" w:styleId="Zpat">
    <w:name w:val="footer"/>
    <w:basedOn w:val="Normln"/>
    <w:link w:val="ZpatChar"/>
    <w:uiPriority w:val="99"/>
    <w:unhideWhenUsed/>
    <w:rsid w:val="00E44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5E5"/>
  </w:style>
  <w:style w:type="character" w:styleId="Hypertextovodkaz">
    <w:name w:val="Hyperlink"/>
    <w:basedOn w:val="Standardnpsmoodstavce"/>
    <w:uiPriority w:val="99"/>
    <w:unhideWhenUsed/>
    <w:rsid w:val="00E445E5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E445E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F611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3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la@ewingpr.cz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8_03\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7_03\podklady%20ke%20graf&#367;m%20v%20textu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Vývoj průměrné</a:t>
            </a:r>
            <a:r>
              <a:rPr lang="cs-CZ" baseline="0"/>
              <a:t> </a:t>
            </a:r>
            <a:r>
              <a:rPr lang="cs-CZ"/>
              <a:t>ceny za metr čtvereční</a:t>
            </a:r>
            <a:r>
              <a:rPr lang="cs-CZ" baseline="0"/>
              <a:t> u </a:t>
            </a:r>
            <a:r>
              <a:rPr lang="cs-CZ"/>
              <a:t>bytů                               v</a:t>
            </a:r>
            <a:r>
              <a:rPr lang="cs-CZ" baseline="0"/>
              <a:t> </a:t>
            </a:r>
            <a:r>
              <a:rPr lang="cs-CZ"/>
              <a:t>novostavbách v Brně</a:t>
            </a:r>
            <a:endParaRPr lang="en-US"/>
          </a:p>
        </c:rich>
      </c:tx>
      <c:layout>
        <c:manualLayout>
          <c:xMode val="edge"/>
          <c:yMode val="edge"/>
          <c:x val="0.20307810788357339"/>
          <c:y val="2.21483942414174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B82E2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List1!$E$33:$E$42</c:f>
              <c:strCache>
                <c:ptCount val="10"/>
                <c:pt idx="0">
                  <c:v>Q1 2016</c:v>
                </c:pt>
                <c:pt idx="1">
                  <c:v>Q2 2016</c:v>
                </c:pt>
                <c:pt idx="2">
                  <c:v>Q3 2016</c:v>
                </c:pt>
                <c:pt idx="3">
                  <c:v>Q4 2016</c:v>
                </c:pt>
                <c:pt idx="4">
                  <c:v>Q1 2017</c:v>
                </c:pt>
                <c:pt idx="5">
                  <c:v>Q2 2017</c:v>
                </c:pt>
                <c:pt idx="6">
                  <c:v>Q3 2017</c:v>
                </c:pt>
                <c:pt idx="7">
                  <c:v>Q4 2017</c:v>
                </c:pt>
                <c:pt idx="8">
                  <c:v>Q1 2018</c:v>
                </c:pt>
                <c:pt idx="9">
                  <c:v>Q2 208</c:v>
                </c:pt>
              </c:strCache>
            </c:strRef>
          </c:cat>
          <c:val>
            <c:numRef>
              <c:f>List1!$F$33:$F$42</c:f>
              <c:numCache>
                <c:formatCode>_-* #,##0\ "Kč"_-;\-* #,##0\ "Kč"_-;_-* "-"??\ "Kč"_-;_-@_-</c:formatCode>
                <c:ptCount val="10"/>
                <c:pt idx="0">
                  <c:v>56569</c:v>
                </c:pt>
                <c:pt idx="1">
                  <c:v>55596</c:v>
                </c:pt>
                <c:pt idx="2">
                  <c:v>59311</c:v>
                </c:pt>
                <c:pt idx="3">
                  <c:v>59311</c:v>
                </c:pt>
                <c:pt idx="4">
                  <c:v>61337</c:v>
                </c:pt>
                <c:pt idx="5">
                  <c:v>64594</c:v>
                </c:pt>
                <c:pt idx="6">
                  <c:v>65359</c:v>
                </c:pt>
                <c:pt idx="7">
                  <c:v>67976</c:v>
                </c:pt>
                <c:pt idx="8">
                  <c:v>73074.371487960307</c:v>
                </c:pt>
                <c:pt idx="9">
                  <c:v>71035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A4-48F0-8078-4BB99E66D7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6118400"/>
        <c:axId val="536118008"/>
      </c:barChart>
      <c:catAx>
        <c:axId val="53611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6118008"/>
        <c:crosses val="autoZero"/>
        <c:auto val="1"/>
        <c:lblAlgn val="ctr"/>
        <c:lblOffset val="100"/>
        <c:noMultiLvlLbl val="0"/>
      </c:catAx>
      <c:valAx>
        <c:axId val="536118008"/>
        <c:scaling>
          <c:orientation val="minMax"/>
          <c:min val="5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\ &quot;Kč&quot;_-;\-* #,##0\ &quot;Kč&quot;_-;_-* &quot;-&quot;??\ &quot;Kč&quot;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6118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Prodeje nových bytů v Brně</a:t>
            </a:r>
            <a:endParaRPr lang="en-US"/>
          </a:p>
        </c:rich>
      </c:tx>
      <c:layout>
        <c:manualLayout>
          <c:xMode val="edge"/>
          <c:yMode val="edge"/>
          <c:x val="0.34553644313774085"/>
          <c:y val="3.01886792452830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474223215466769E-2"/>
          <c:y val="0.24336513443191674"/>
          <c:w val="0.91262348837695018"/>
          <c:h val="0.58789646090422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B1510F"/>
            </a:solidFill>
            <a:ln>
              <a:noFill/>
            </a:ln>
            <a:effectLst/>
          </c:spPr>
          <c:invertIfNegative val="0"/>
          <c:dLbls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/>
                      <a:t>298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76E-4602-B63C-E3976E737D67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List1!$S$3:$S$20</c:f>
              <c:strCache>
                <c:ptCount val="18"/>
                <c:pt idx="0">
                  <c:v>Q1 2014</c:v>
                </c:pt>
                <c:pt idx="1">
                  <c:v>Q2 2014</c:v>
                </c:pt>
                <c:pt idx="2">
                  <c:v>Q3 2014</c:v>
                </c:pt>
                <c:pt idx="3">
                  <c:v>Q4 2014</c:v>
                </c:pt>
                <c:pt idx="4">
                  <c:v>Q1 2015</c:v>
                </c:pt>
                <c:pt idx="5">
                  <c:v>Q2 2015</c:v>
                </c:pt>
                <c:pt idx="6">
                  <c:v>Q3 2015</c:v>
                </c:pt>
                <c:pt idx="7">
                  <c:v>Q4 2015</c:v>
                </c:pt>
                <c:pt idx="8">
                  <c:v>Q1 2016</c:v>
                </c:pt>
                <c:pt idx="9">
                  <c:v>Q2 2016</c:v>
                </c:pt>
                <c:pt idx="10">
                  <c:v>Q3 2016</c:v>
                </c:pt>
                <c:pt idx="11">
                  <c:v>Q4 2016</c:v>
                </c:pt>
                <c:pt idx="12">
                  <c:v>Q1 2017</c:v>
                </c:pt>
                <c:pt idx="13">
                  <c:v>Q2 2017</c:v>
                </c:pt>
                <c:pt idx="14">
                  <c:v>Q3 2017</c:v>
                </c:pt>
                <c:pt idx="15">
                  <c:v>Q4 2017</c:v>
                </c:pt>
                <c:pt idx="16">
                  <c:v>Q1 2018</c:v>
                </c:pt>
                <c:pt idx="17">
                  <c:v>Q2 2018</c:v>
                </c:pt>
              </c:strCache>
            </c:strRef>
          </c:cat>
          <c:val>
            <c:numRef>
              <c:f>List1!$T$3:$T$20</c:f>
              <c:numCache>
                <c:formatCode>General</c:formatCode>
                <c:ptCount val="18"/>
                <c:pt idx="0">
                  <c:v>181</c:v>
                </c:pt>
                <c:pt idx="1">
                  <c:v>255</c:v>
                </c:pt>
                <c:pt idx="2">
                  <c:v>167</c:v>
                </c:pt>
                <c:pt idx="3">
                  <c:v>221</c:v>
                </c:pt>
                <c:pt idx="4">
                  <c:v>272</c:v>
                </c:pt>
                <c:pt idx="5">
                  <c:v>272</c:v>
                </c:pt>
                <c:pt idx="6">
                  <c:v>172</c:v>
                </c:pt>
                <c:pt idx="7">
                  <c:v>238</c:v>
                </c:pt>
                <c:pt idx="8">
                  <c:v>378</c:v>
                </c:pt>
                <c:pt idx="9">
                  <c:v>559</c:v>
                </c:pt>
                <c:pt idx="10">
                  <c:v>258</c:v>
                </c:pt>
                <c:pt idx="11">
                  <c:v>312</c:v>
                </c:pt>
                <c:pt idx="12">
                  <c:v>224</c:v>
                </c:pt>
                <c:pt idx="13">
                  <c:v>298</c:v>
                </c:pt>
                <c:pt idx="14">
                  <c:v>239</c:v>
                </c:pt>
                <c:pt idx="15">
                  <c:v>163</c:v>
                </c:pt>
                <c:pt idx="16">
                  <c:v>88</c:v>
                </c:pt>
                <c:pt idx="17">
                  <c:v>141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6E-4602-B63C-E3976E737D6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6119576"/>
        <c:axId val="536120752"/>
      </c:barChart>
      <c:catAx>
        <c:axId val="536119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6120752"/>
        <c:crosses val="autoZero"/>
        <c:auto val="1"/>
        <c:lblAlgn val="ctr"/>
        <c:lblOffset val="100"/>
        <c:noMultiLvlLbl val="0"/>
      </c:catAx>
      <c:valAx>
        <c:axId val="53612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36119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160A-80F6-4B7F-86C3-671B3585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762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fsudrich</dc:creator>
  <cp:keywords/>
  <dc:description/>
  <cp:lastModifiedBy>Petra Filsaková</cp:lastModifiedBy>
  <cp:revision>6</cp:revision>
  <dcterms:created xsi:type="dcterms:W3CDTF">2018-07-19T07:32:00Z</dcterms:created>
  <dcterms:modified xsi:type="dcterms:W3CDTF">2018-07-19T09:47:00Z</dcterms:modified>
</cp:coreProperties>
</file>