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C798F" w14:textId="09872C78" w:rsidR="00E445E5" w:rsidRDefault="00E445E5" w:rsidP="0020314F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86F3642" wp14:editId="56B957B7">
            <wp:simplePos x="0" y="0"/>
            <wp:positionH relativeFrom="margin">
              <wp:posOffset>4984998</wp:posOffset>
            </wp:positionH>
            <wp:positionV relativeFrom="paragraph">
              <wp:posOffset>-88182</wp:posOffset>
            </wp:positionV>
            <wp:extent cx="904240" cy="635635"/>
            <wp:effectExtent l="0" t="0" r="0" b="0"/>
            <wp:wrapNone/>
            <wp:docPr id="11" name="Obrázek 11" descr="Popis: logo tri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logo trikay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8E2E2" w14:textId="77777777" w:rsidR="009B2B64" w:rsidRPr="007D1E77" w:rsidRDefault="009B2B64" w:rsidP="009B2B64">
      <w:pPr>
        <w:spacing w:line="276" w:lineRule="auto"/>
        <w:rPr>
          <w:b/>
          <w:sz w:val="16"/>
          <w:szCs w:val="28"/>
        </w:rPr>
      </w:pPr>
      <w:r w:rsidRPr="007D1E77">
        <w:rPr>
          <w:rFonts w:ascii="Times New Roman" w:eastAsia="SimSun" w:hAnsi="Times New Roman" w:cs="Times New Roman"/>
          <w:szCs w:val="24"/>
          <w:lang w:eastAsia="zh-CN"/>
        </w:rPr>
        <w:t>TISKOVÁ ZPRÁVA</w:t>
      </w:r>
      <w:r w:rsidRPr="007D1E77">
        <w:rPr>
          <w:b/>
          <w:sz w:val="24"/>
          <w:szCs w:val="28"/>
        </w:rPr>
        <w:br/>
      </w:r>
    </w:p>
    <w:p w14:paraId="3184C069" w14:textId="76E24B62" w:rsidR="009B2B64" w:rsidRPr="00F50722" w:rsidRDefault="003E66F3" w:rsidP="009B2B6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ZDRAŽOVÁNÍ BRNĚNSKÝCH BYTŮ ZPOMALILO, CENA SE BRZY ZASTAVÍ U HRANICE 75 TISÍC KORUN ZA METR </w:t>
      </w:r>
    </w:p>
    <w:p w14:paraId="4CD63A7C" w14:textId="69BC5EDB" w:rsidR="009B2B64" w:rsidRPr="005A3830" w:rsidRDefault="009B2B64" w:rsidP="009B2B64">
      <w:pPr>
        <w:jc w:val="both"/>
        <w:rPr>
          <w:rFonts w:ascii="Arial" w:hAnsi="Arial" w:cs="Arial"/>
          <w:b/>
          <w:sz w:val="20"/>
          <w:szCs w:val="20"/>
        </w:rPr>
      </w:pPr>
      <w:r w:rsidRPr="0005712A">
        <w:rPr>
          <w:rFonts w:ascii="Arial" w:hAnsi="Arial" w:cs="Arial"/>
          <w:i/>
          <w:sz w:val="20"/>
          <w:szCs w:val="20"/>
        </w:rPr>
        <w:t xml:space="preserve">Brno 24. října 2018 </w:t>
      </w:r>
      <w:r w:rsidRPr="00151F2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5A3830">
        <w:rPr>
          <w:rFonts w:ascii="Arial" w:hAnsi="Arial" w:cs="Arial"/>
          <w:b/>
          <w:sz w:val="20"/>
          <w:szCs w:val="20"/>
        </w:rPr>
        <w:t>Brněnské b</w:t>
      </w:r>
      <w:r w:rsidR="003E66F3">
        <w:rPr>
          <w:rFonts w:ascii="Arial" w:hAnsi="Arial" w:cs="Arial"/>
          <w:b/>
          <w:sz w:val="20"/>
          <w:szCs w:val="20"/>
        </w:rPr>
        <w:t>yty i</w:t>
      </w:r>
      <w:r w:rsidRPr="005A3830">
        <w:rPr>
          <w:rFonts w:ascii="Arial" w:hAnsi="Arial" w:cs="Arial"/>
          <w:b/>
          <w:sz w:val="20"/>
          <w:szCs w:val="20"/>
        </w:rPr>
        <w:t xml:space="preserve"> nadále </w:t>
      </w:r>
      <w:r>
        <w:rPr>
          <w:rFonts w:ascii="Arial" w:hAnsi="Arial" w:cs="Arial"/>
          <w:b/>
          <w:sz w:val="20"/>
          <w:szCs w:val="20"/>
        </w:rPr>
        <w:t>zdražují, ale výrazně pomaleji než dříve.</w:t>
      </w:r>
      <w:r w:rsidR="003E66F3">
        <w:rPr>
          <w:rFonts w:ascii="Arial" w:hAnsi="Arial" w:cs="Arial"/>
          <w:b/>
          <w:sz w:val="20"/>
          <w:szCs w:val="20"/>
        </w:rPr>
        <w:t xml:space="preserve"> Vše nasvědčuje tomu, že se blíží okamžik, kdy se růst cen zastaví a průměrná cena se ustálí kolem částky 75 tisíc korun za metr </w:t>
      </w:r>
      <w:r w:rsidRPr="005A3830">
        <w:rPr>
          <w:rFonts w:ascii="Arial" w:hAnsi="Arial" w:cs="Arial"/>
          <w:b/>
          <w:sz w:val="20"/>
          <w:szCs w:val="20"/>
        </w:rPr>
        <w:t>čtvereční. Bude i z čeho vybírat, v</w:t>
      </w:r>
      <w:r>
        <w:rPr>
          <w:rFonts w:ascii="Arial" w:hAnsi="Arial" w:cs="Arial"/>
          <w:b/>
          <w:sz w:val="20"/>
          <w:szCs w:val="20"/>
        </w:rPr>
        <w:t> </w:t>
      </w:r>
      <w:r w:rsidRPr="0005712A">
        <w:rPr>
          <w:rFonts w:ascii="Arial" w:hAnsi="Arial" w:cs="Arial"/>
          <w:b/>
          <w:sz w:val="20"/>
          <w:szCs w:val="20"/>
        </w:rPr>
        <w:t>nabídce</w:t>
      </w:r>
      <w:r>
        <w:rPr>
          <w:rFonts w:ascii="Arial" w:hAnsi="Arial" w:cs="Arial"/>
          <w:b/>
          <w:sz w:val="20"/>
          <w:szCs w:val="20"/>
        </w:rPr>
        <w:t xml:space="preserve"> se</w:t>
      </w:r>
      <w:r w:rsidRPr="0005712A">
        <w:rPr>
          <w:rFonts w:ascii="Arial" w:hAnsi="Arial" w:cs="Arial"/>
          <w:b/>
          <w:sz w:val="20"/>
          <w:szCs w:val="20"/>
        </w:rPr>
        <w:t xml:space="preserve"> </w:t>
      </w:r>
      <w:r w:rsidR="003E66F3">
        <w:rPr>
          <w:rFonts w:ascii="Arial" w:hAnsi="Arial" w:cs="Arial"/>
          <w:b/>
          <w:sz w:val="20"/>
          <w:szCs w:val="20"/>
        </w:rPr>
        <w:t xml:space="preserve">teď </w:t>
      </w:r>
      <w:r>
        <w:rPr>
          <w:rFonts w:ascii="Arial" w:hAnsi="Arial" w:cs="Arial"/>
          <w:b/>
          <w:sz w:val="20"/>
          <w:szCs w:val="20"/>
        </w:rPr>
        <w:t>nachází</w:t>
      </w:r>
      <w:r w:rsidRPr="0005712A">
        <w:rPr>
          <w:rFonts w:ascii="Arial" w:hAnsi="Arial" w:cs="Arial"/>
          <w:b/>
          <w:sz w:val="20"/>
          <w:szCs w:val="20"/>
        </w:rPr>
        <w:t xml:space="preserve"> ještě přes šest set </w:t>
      </w:r>
      <w:r>
        <w:rPr>
          <w:rFonts w:ascii="Arial" w:hAnsi="Arial" w:cs="Arial"/>
          <w:b/>
          <w:sz w:val="20"/>
          <w:szCs w:val="20"/>
        </w:rPr>
        <w:t xml:space="preserve">volných </w:t>
      </w:r>
      <w:r w:rsidRPr="0005712A">
        <w:rPr>
          <w:rFonts w:ascii="Arial" w:hAnsi="Arial" w:cs="Arial"/>
          <w:b/>
          <w:sz w:val="20"/>
          <w:szCs w:val="20"/>
        </w:rPr>
        <w:t xml:space="preserve">bytů, </w:t>
      </w:r>
      <w:r>
        <w:rPr>
          <w:rFonts w:ascii="Arial" w:hAnsi="Arial" w:cs="Arial"/>
          <w:b/>
          <w:sz w:val="20"/>
          <w:szCs w:val="20"/>
        </w:rPr>
        <w:t xml:space="preserve">většinu </w:t>
      </w:r>
      <w:r w:rsidR="003E66F3">
        <w:rPr>
          <w:rFonts w:ascii="Arial" w:hAnsi="Arial" w:cs="Arial"/>
          <w:b/>
          <w:sz w:val="20"/>
          <w:szCs w:val="20"/>
        </w:rPr>
        <w:t>z nich</w:t>
      </w:r>
      <w:r>
        <w:rPr>
          <w:rFonts w:ascii="Arial" w:hAnsi="Arial" w:cs="Arial"/>
          <w:b/>
          <w:sz w:val="20"/>
          <w:szCs w:val="20"/>
        </w:rPr>
        <w:t xml:space="preserve"> ale tvoří luxusnější a dražší</w:t>
      </w:r>
      <w:r w:rsidR="003E66F3">
        <w:rPr>
          <w:rFonts w:ascii="Arial" w:hAnsi="Arial" w:cs="Arial"/>
          <w:b/>
          <w:sz w:val="20"/>
          <w:szCs w:val="20"/>
        </w:rPr>
        <w:t xml:space="preserve"> byty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3E66F3">
        <w:rPr>
          <w:rFonts w:ascii="Arial" w:hAnsi="Arial" w:cs="Arial"/>
          <w:b/>
          <w:sz w:val="20"/>
          <w:szCs w:val="20"/>
        </w:rPr>
        <w:t xml:space="preserve">V letošním třetím čtvrtletí se nové byty v Brně prodávaly zatím nejlépe, lidé jich koupili </w:t>
      </w:r>
      <w:r w:rsidRPr="00554CAE">
        <w:rPr>
          <w:rFonts w:ascii="Arial" w:hAnsi="Arial" w:cs="Arial"/>
          <w:b/>
          <w:sz w:val="20"/>
          <w:szCs w:val="20"/>
        </w:rPr>
        <w:t>22</w:t>
      </w:r>
      <w:r w:rsidR="003E66F3">
        <w:rPr>
          <w:rFonts w:ascii="Arial" w:hAnsi="Arial" w:cs="Arial"/>
          <w:b/>
          <w:sz w:val="20"/>
          <w:szCs w:val="20"/>
        </w:rPr>
        <w:t>3. N</w:t>
      </w:r>
      <w:r>
        <w:rPr>
          <w:rFonts w:ascii="Arial" w:hAnsi="Arial" w:cs="Arial"/>
          <w:b/>
          <w:sz w:val="20"/>
          <w:szCs w:val="20"/>
        </w:rPr>
        <w:t>ejvětší z</w:t>
      </w:r>
      <w:r w:rsidRPr="0005712A">
        <w:rPr>
          <w:rFonts w:ascii="Arial" w:hAnsi="Arial" w:cs="Arial"/>
          <w:b/>
          <w:sz w:val="20"/>
          <w:szCs w:val="20"/>
        </w:rPr>
        <w:t xml:space="preserve">ájem </w:t>
      </w:r>
      <w:r>
        <w:rPr>
          <w:rFonts w:ascii="Arial" w:hAnsi="Arial" w:cs="Arial"/>
          <w:b/>
          <w:sz w:val="20"/>
          <w:szCs w:val="20"/>
        </w:rPr>
        <w:t xml:space="preserve">byl </w:t>
      </w:r>
      <w:r w:rsidRPr="0005712A">
        <w:rPr>
          <w:rFonts w:ascii="Arial" w:hAnsi="Arial" w:cs="Arial"/>
          <w:b/>
          <w:sz w:val="20"/>
          <w:szCs w:val="20"/>
        </w:rPr>
        <w:t>o byty dvoupokojo</w:t>
      </w:r>
      <w:r>
        <w:rPr>
          <w:rFonts w:ascii="Arial" w:hAnsi="Arial" w:cs="Arial"/>
          <w:b/>
          <w:sz w:val="20"/>
          <w:szCs w:val="20"/>
        </w:rPr>
        <w:t>vé, které se prodávaly</w:t>
      </w:r>
      <w:r w:rsidRPr="0005712A">
        <w:rPr>
          <w:rFonts w:ascii="Arial" w:hAnsi="Arial" w:cs="Arial"/>
          <w:b/>
          <w:sz w:val="20"/>
          <w:szCs w:val="20"/>
        </w:rPr>
        <w:t xml:space="preserve"> </w:t>
      </w:r>
      <w:r w:rsidRPr="00C54F45">
        <w:rPr>
          <w:rFonts w:ascii="Arial" w:hAnsi="Arial" w:cs="Arial"/>
          <w:b/>
          <w:sz w:val="20"/>
          <w:szCs w:val="20"/>
        </w:rPr>
        <w:t>v průměru za 3,78 milion</w:t>
      </w:r>
      <w:r w:rsidR="00131439">
        <w:rPr>
          <w:rFonts w:ascii="Arial" w:hAnsi="Arial" w:cs="Arial"/>
          <w:b/>
          <w:sz w:val="20"/>
          <w:szCs w:val="20"/>
        </w:rPr>
        <w:t>u</w:t>
      </w:r>
      <w:r w:rsidRPr="00C54F45">
        <w:rPr>
          <w:rFonts w:ascii="Arial" w:hAnsi="Arial" w:cs="Arial"/>
          <w:b/>
          <w:sz w:val="20"/>
          <w:szCs w:val="20"/>
        </w:rPr>
        <w:t xml:space="preserve"> ko</w:t>
      </w:r>
      <w:r>
        <w:rPr>
          <w:rFonts w:ascii="Arial" w:hAnsi="Arial" w:cs="Arial"/>
          <w:b/>
          <w:sz w:val="20"/>
          <w:szCs w:val="20"/>
        </w:rPr>
        <w:t>run</w:t>
      </w:r>
      <w:r w:rsidR="003E66F3">
        <w:rPr>
          <w:rFonts w:ascii="Arial" w:hAnsi="Arial" w:cs="Arial"/>
          <w:b/>
          <w:sz w:val="20"/>
          <w:szCs w:val="20"/>
        </w:rPr>
        <w:t>. V</w:t>
      </w:r>
      <w:r w:rsidR="00131439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plývá </w:t>
      </w:r>
      <w:r w:rsidR="00131439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 xml:space="preserve">z analýzy společnosti Trikaya. </w:t>
      </w:r>
    </w:p>
    <w:p w14:paraId="63AB4DDC" w14:textId="45F02146" w:rsidR="009B2B64" w:rsidRDefault="003E66F3" w:rsidP="009B2B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 mohou lidé aktuálně vybírat z více než šesti stovek nových bytů, j</w:t>
      </w:r>
      <w:r w:rsidR="009B2B64">
        <w:rPr>
          <w:rFonts w:ascii="Arial" w:hAnsi="Arial" w:cs="Arial"/>
          <w:sz w:val="20"/>
          <w:szCs w:val="20"/>
        </w:rPr>
        <w:t xml:space="preserve">ejich průměrná cena je však velmi vysoká. Uchazeči o </w:t>
      </w:r>
      <w:r w:rsidR="00114C25">
        <w:rPr>
          <w:rFonts w:ascii="Arial" w:hAnsi="Arial" w:cs="Arial"/>
          <w:sz w:val="20"/>
          <w:szCs w:val="20"/>
        </w:rPr>
        <w:t xml:space="preserve">průměrné </w:t>
      </w:r>
      <w:r w:rsidR="009B2B64">
        <w:rPr>
          <w:rFonts w:ascii="Arial" w:hAnsi="Arial" w:cs="Arial"/>
          <w:sz w:val="20"/>
          <w:szCs w:val="20"/>
        </w:rPr>
        <w:t>nové bydlení si musí přichystat necelých pět milionů.</w:t>
      </w:r>
      <w:r w:rsidR="009B2B64" w:rsidRPr="0051344A">
        <w:rPr>
          <w:rFonts w:ascii="Arial" w:hAnsi="Arial" w:cs="Arial"/>
          <w:sz w:val="20"/>
          <w:szCs w:val="20"/>
        </w:rPr>
        <w:t xml:space="preserve"> </w:t>
      </w:r>
    </w:p>
    <w:p w14:paraId="3DD6CF1B" w14:textId="60373C37" w:rsidR="009B2B64" w:rsidRPr="0051344A" w:rsidRDefault="009B2B64" w:rsidP="009B2B64">
      <w:pPr>
        <w:jc w:val="both"/>
        <w:rPr>
          <w:rFonts w:ascii="Arial" w:hAnsi="Arial" w:cs="Arial"/>
          <w:i/>
          <w:sz w:val="20"/>
          <w:szCs w:val="20"/>
        </w:rPr>
      </w:pPr>
      <w:r w:rsidRPr="003E66F3">
        <w:rPr>
          <w:rFonts w:ascii="Arial" w:hAnsi="Arial" w:cs="Arial"/>
          <w:i/>
          <w:sz w:val="20"/>
          <w:szCs w:val="20"/>
        </w:rPr>
        <w:t>„Průměrné</w:t>
      </w:r>
      <w:r w:rsidRPr="00C42451">
        <w:rPr>
          <w:rFonts w:ascii="Arial" w:hAnsi="Arial" w:cs="Arial"/>
          <w:i/>
          <w:sz w:val="20"/>
          <w:szCs w:val="20"/>
        </w:rPr>
        <w:t xml:space="preserve"> ceny</w:t>
      </w:r>
      <w:r>
        <w:rPr>
          <w:rFonts w:ascii="Arial" w:hAnsi="Arial" w:cs="Arial"/>
          <w:i/>
          <w:sz w:val="20"/>
          <w:szCs w:val="20"/>
        </w:rPr>
        <w:t xml:space="preserve"> volných bytů rostou, protože</w:t>
      </w:r>
      <w:r w:rsidRPr="00C42451">
        <w:rPr>
          <w:rFonts w:ascii="Arial" w:hAnsi="Arial" w:cs="Arial"/>
          <w:i/>
          <w:sz w:val="20"/>
          <w:szCs w:val="20"/>
        </w:rPr>
        <w:t xml:space="preserve"> v nabídce převládají </w:t>
      </w:r>
      <w:r>
        <w:rPr>
          <w:rFonts w:ascii="Arial" w:hAnsi="Arial" w:cs="Arial"/>
          <w:i/>
          <w:sz w:val="20"/>
          <w:szCs w:val="20"/>
        </w:rPr>
        <w:t xml:space="preserve">drahé velké </w:t>
      </w:r>
      <w:r w:rsidRPr="00C42451">
        <w:rPr>
          <w:rFonts w:ascii="Arial" w:hAnsi="Arial" w:cs="Arial"/>
          <w:i/>
          <w:sz w:val="20"/>
          <w:szCs w:val="20"/>
        </w:rPr>
        <w:t>byty</w:t>
      </w:r>
      <w:r>
        <w:rPr>
          <w:rFonts w:ascii="Arial" w:hAnsi="Arial" w:cs="Arial"/>
          <w:i/>
          <w:sz w:val="20"/>
          <w:szCs w:val="20"/>
        </w:rPr>
        <w:t xml:space="preserve"> –</w:t>
      </w:r>
      <w:r w:rsidRPr="00C42451">
        <w:rPr>
          <w:rFonts w:ascii="Arial" w:hAnsi="Arial" w:cs="Arial"/>
          <w:i/>
          <w:sz w:val="20"/>
          <w:szCs w:val="20"/>
        </w:rPr>
        <w:t xml:space="preserve"> třípokojové</w:t>
      </w:r>
      <w:r>
        <w:rPr>
          <w:rFonts w:ascii="Arial" w:hAnsi="Arial" w:cs="Arial"/>
          <w:i/>
          <w:sz w:val="20"/>
          <w:szCs w:val="20"/>
        </w:rPr>
        <w:t xml:space="preserve"> a větší</w:t>
      </w:r>
      <w:r w:rsidRPr="00C42451">
        <w:rPr>
          <w:rFonts w:ascii="Arial" w:hAnsi="Arial" w:cs="Arial"/>
          <w:i/>
          <w:sz w:val="20"/>
          <w:szCs w:val="20"/>
        </w:rPr>
        <w:t xml:space="preserve">. Zatímco </w:t>
      </w:r>
      <w:r>
        <w:rPr>
          <w:rFonts w:ascii="Arial" w:hAnsi="Arial" w:cs="Arial"/>
          <w:i/>
          <w:sz w:val="20"/>
          <w:szCs w:val="20"/>
        </w:rPr>
        <w:t>tato dispozice běžně představuje</w:t>
      </w:r>
      <w:r w:rsidRPr="00C42451">
        <w:rPr>
          <w:rFonts w:ascii="Arial" w:hAnsi="Arial" w:cs="Arial"/>
          <w:i/>
          <w:sz w:val="20"/>
          <w:szCs w:val="20"/>
        </w:rPr>
        <w:t xml:space="preserve"> jen tř</w:t>
      </w:r>
      <w:r>
        <w:rPr>
          <w:rFonts w:ascii="Arial" w:hAnsi="Arial" w:cs="Arial"/>
          <w:i/>
          <w:sz w:val="20"/>
          <w:szCs w:val="20"/>
        </w:rPr>
        <w:t xml:space="preserve">etinu nabídky, teď je to téměř polovina,“ </w:t>
      </w:r>
      <w:r w:rsidRPr="00C42451">
        <w:rPr>
          <w:rFonts w:ascii="Arial" w:hAnsi="Arial" w:cs="Arial"/>
          <w:sz w:val="20"/>
          <w:szCs w:val="20"/>
        </w:rPr>
        <w:t xml:space="preserve">analyzuje </w:t>
      </w:r>
      <w:r>
        <w:rPr>
          <w:rFonts w:ascii="Arial" w:hAnsi="Arial" w:cs="Arial"/>
          <w:sz w:val="20"/>
          <w:szCs w:val="20"/>
        </w:rPr>
        <w:t>situaci na realitním trhu Alexej Veselý, výkonný ředitel společnosti Trikaya, a dodává: „</w:t>
      </w:r>
      <w:r w:rsidRPr="00146690">
        <w:rPr>
          <w:rFonts w:ascii="Arial" w:hAnsi="Arial" w:cs="Arial"/>
          <w:i/>
          <w:sz w:val="20"/>
          <w:szCs w:val="20"/>
        </w:rPr>
        <w:t>Přestože je v meziročním srovnání nárůst cen</w:t>
      </w:r>
      <w:r>
        <w:rPr>
          <w:rFonts w:ascii="Arial" w:hAnsi="Arial" w:cs="Arial"/>
          <w:i/>
          <w:sz w:val="20"/>
          <w:szCs w:val="20"/>
        </w:rPr>
        <w:t xml:space="preserve"> volných bytů</w:t>
      </w:r>
      <w:r w:rsidRPr="00D73327">
        <w:rPr>
          <w:rFonts w:ascii="Arial" w:hAnsi="Arial" w:cs="Arial"/>
          <w:i/>
          <w:sz w:val="20"/>
          <w:szCs w:val="20"/>
        </w:rPr>
        <w:t xml:space="preserve"> </w:t>
      </w:r>
      <w:r w:rsidRPr="00146690">
        <w:rPr>
          <w:rFonts w:ascii="Arial" w:hAnsi="Arial" w:cs="Arial"/>
          <w:i/>
          <w:sz w:val="20"/>
          <w:szCs w:val="20"/>
        </w:rPr>
        <w:t xml:space="preserve">znatelný, </w:t>
      </w:r>
      <w:r>
        <w:rPr>
          <w:rFonts w:ascii="Arial" w:hAnsi="Arial" w:cs="Arial"/>
          <w:i/>
          <w:sz w:val="20"/>
          <w:szCs w:val="20"/>
        </w:rPr>
        <w:t>pro všechny, kdo plánují koupi bytu, je důležitější vývoj v krátkém</w:t>
      </w:r>
      <w:r w:rsidRPr="00146690">
        <w:rPr>
          <w:rFonts w:ascii="Arial" w:hAnsi="Arial" w:cs="Arial"/>
          <w:i/>
          <w:sz w:val="20"/>
          <w:szCs w:val="20"/>
        </w:rPr>
        <w:t xml:space="preserve"> období</w:t>
      </w:r>
      <w:r>
        <w:rPr>
          <w:rFonts w:ascii="Arial" w:hAnsi="Arial" w:cs="Arial"/>
          <w:i/>
          <w:sz w:val="20"/>
          <w:szCs w:val="20"/>
        </w:rPr>
        <w:t xml:space="preserve">. A to v současné době </w:t>
      </w:r>
      <w:r w:rsidRPr="00146690">
        <w:rPr>
          <w:rFonts w:ascii="Arial" w:hAnsi="Arial" w:cs="Arial"/>
          <w:i/>
          <w:sz w:val="20"/>
          <w:szCs w:val="20"/>
        </w:rPr>
        <w:t>ukaz</w:t>
      </w:r>
      <w:r>
        <w:rPr>
          <w:rFonts w:ascii="Arial" w:hAnsi="Arial" w:cs="Arial"/>
          <w:i/>
          <w:sz w:val="20"/>
          <w:szCs w:val="20"/>
        </w:rPr>
        <w:t>uje, že cenový růst zpomaluje, a dá se tedy očekávat</w:t>
      </w:r>
      <w:r w:rsidRPr="00146690">
        <w:rPr>
          <w:rFonts w:ascii="Arial" w:hAnsi="Arial" w:cs="Arial"/>
          <w:i/>
          <w:sz w:val="20"/>
          <w:szCs w:val="20"/>
        </w:rPr>
        <w:t xml:space="preserve">, že se cena za metr čtvereční </w:t>
      </w:r>
      <w:r>
        <w:rPr>
          <w:rFonts w:ascii="Arial" w:hAnsi="Arial" w:cs="Arial"/>
          <w:i/>
          <w:sz w:val="20"/>
          <w:szCs w:val="20"/>
        </w:rPr>
        <w:t xml:space="preserve">brzy </w:t>
      </w:r>
      <w:r w:rsidRPr="00146690">
        <w:rPr>
          <w:rFonts w:ascii="Arial" w:hAnsi="Arial" w:cs="Arial"/>
          <w:i/>
          <w:sz w:val="20"/>
          <w:szCs w:val="20"/>
        </w:rPr>
        <w:t>ustálí</w:t>
      </w:r>
      <w:r>
        <w:rPr>
          <w:rFonts w:ascii="Arial" w:hAnsi="Arial" w:cs="Arial"/>
          <w:i/>
          <w:sz w:val="20"/>
          <w:szCs w:val="20"/>
        </w:rPr>
        <w:t>. Předpokládáme, že v Brně to bude</w:t>
      </w:r>
      <w:r w:rsidRPr="00146690">
        <w:rPr>
          <w:rFonts w:ascii="Arial" w:hAnsi="Arial" w:cs="Arial"/>
          <w:i/>
          <w:sz w:val="20"/>
          <w:szCs w:val="20"/>
        </w:rPr>
        <w:t xml:space="preserve"> kolem 75 tisíc korun</w:t>
      </w:r>
      <w:r w:rsidR="003E66F3">
        <w:rPr>
          <w:rFonts w:ascii="Arial" w:hAnsi="Arial" w:cs="Arial"/>
          <w:i/>
          <w:sz w:val="20"/>
          <w:szCs w:val="20"/>
        </w:rPr>
        <w:t xml:space="preserve"> za metr čtvereční</w:t>
      </w:r>
      <w:r w:rsidRPr="00146690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“</w:t>
      </w:r>
    </w:p>
    <w:p w14:paraId="74D42502" w14:textId="7A8FF97B" w:rsidR="009B2B64" w:rsidRDefault="009B2B64" w:rsidP="009B2B6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Volných bytů je oproti loňsku v tomto období o polovinu více. Nejširší nabídka je v</w:t>
      </w:r>
      <w:r w:rsidR="003E66F3">
        <w:rPr>
          <w:rFonts w:ascii="Arial" w:hAnsi="Arial" w:cs="Arial"/>
          <w:sz w:val="20"/>
          <w:szCs w:val="20"/>
        </w:rPr>
        <w:t xml:space="preserve"> městských </w:t>
      </w:r>
      <w:r>
        <w:rPr>
          <w:rFonts w:ascii="Arial" w:hAnsi="Arial" w:cs="Arial"/>
          <w:sz w:val="20"/>
          <w:szCs w:val="20"/>
        </w:rPr>
        <w:t>částech Brno-střed, Bystrc a Židenice, kde mají byty rozlohu kolem 60 metrů čtverečních. Akutní nedostatek je ale bytů menších a levnějších, poněvadž rozsáhlejší stavby sídlištního typu, které tyto dispozice nabízejí, v</w:t>
      </w:r>
      <w:r w:rsidR="003E66F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Brně čekají na schválení i několik let. </w:t>
      </w:r>
    </w:p>
    <w:tbl>
      <w:tblPr>
        <w:tblpPr w:leftFromText="141" w:rightFromText="141" w:vertAnchor="page" w:horzAnchor="margin" w:tblpXSpec="center" w:tblpY="9826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564"/>
        <w:gridCol w:w="1564"/>
        <w:gridCol w:w="1564"/>
        <w:gridCol w:w="1967"/>
      </w:tblGrid>
      <w:tr w:rsidR="009B2B64" w14:paraId="5BDA1E73" w14:textId="77777777" w:rsidTr="003E66F3">
        <w:trPr>
          <w:trHeight w:val="223"/>
        </w:trPr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99CB4A4" w14:textId="77777777" w:rsidR="009B2B64" w:rsidRPr="00742106" w:rsidRDefault="009B2B64" w:rsidP="009F754E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Dispozice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BCAB53E" w14:textId="77777777" w:rsidR="009B2B64" w:rsidRPr="00742106" w:rsidRDefault="009B2B64" w:rsidP="009F754E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Cena s DPH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A97F82C" w14:textId="77777777" w:rsidR="009B2B64" w:rsidRPr="00742106" w:rsidRDefault="009B2B64" w:rsidP="009F754E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Velikost bytu</w:t>
            </w:r>
          </w:p>
        </w:tc>
        <w:tc>
          <w:tcPr>
            <w:tcW w:w="1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3187200" w14:textId="77777777" w:rsidR="009B2B64" w:rsidRPr="00742106" w:rsidRDefault="009B2B64" w:rsidP="009F754E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Cena za m</w:t>
            </w: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  <w:vertAlign w:val="superscript"/>
              </w:rPr>
              <w:t>2</w:t>
            </w: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 s DPH</w:t>
            </w:r>
            <w:r w:rsidRPr="00742106">
              <w:rPr>
                <w:rStyle w:val="Znakapoznpodarou"/>
                <w:rFonts w:ascii="Arial" w:eastAsia="Calibri" w:hAnsi="Arial" w:cs="Arial"/>
                <w:b/>
                <w:bCs/>
                <w:iCs/>
                <w:color w:val="FFFFFF"/>
              </w:rPr>
              <w:footnoteReference w:id="1"/>
            </w:r>
          </w:p>
        </w:tc>
      </w:tr>
      <w:tr w:rsidR="009B2B64" w14:paraId="38906AFC" w14:textId="77777777" w:rsidTr="003E66F3">
        <w:trPr>
          <w:trHeight w:val="259"/>
        </w:trPr>
        <w:tc>
          <w:tcPr>
            <w:tcW w:w="156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9CF0150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1+kk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75723B3E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 xml:space="preserve">3 050 000 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>Kč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3A57A9EB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38,5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501E6187" w14:textId="77777777" w:rsidR="009B2B64" w:rsidRPr="0026057F" w:rsidRDefault="009B2B64" w:rsidP="009F754E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79 200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</w:tr>
      <w:tr w:rsidR="009B2B64" w14:paraId="7E8748E3" w14:textId="77777777" w:rsidTr="003E66F3">
        <w:trPr>
          <w:trHeight w:val="259"/>
        </w:trPr>
        <w:tc>
          <w:tcPr>
            <w:tcW w:w="156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17651174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2+kk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1B5B42B2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4 300 000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171A58F2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56,3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68D2EAD1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76 300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</w:tr>
      <w:tr w:rsidR="009B2B64" w14:paraId="05EFDFAB" w14:textId="77777777" w:rsidTr="003E66F3">
        <w:trPr>
          <w:trHeight w:val="270"/>
        </w:trPr>
        <w:tc>
          <w:tcPr>
            <w:tcW w:w="156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27041B10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3+kk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638EEC2F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5 800 000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7D07A9D4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80,2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2A0B134B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 xml:space="preserve">72 200 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>Kč</w:t>
            </w:r>
          </w:p>
        </w:tc>
      </w:tr>
      <w:tr w:rsidR="009B2B64" w14:paraId="11E83B5C" w14:textId="77777777" w:rsidTr="003E66F3">
        <w:trPr>
          <w:trHeight w:val="243"/>
        </w:trPr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E64582B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4+kk a více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4A975A8A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8 300 000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2B792FB5" w14:textId="77777777" w:rsidR="009B2B64" w:rsidRPr="0026057F" w:rsidRDefault="009B2B64" w:rsidP="009F754E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107,2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632808D8" w14:textId="77777777" w:rsidR="009B2B64" w:rsidRPr="00742106" w:rsidRDefault="009B2B64" w:rsidP="009F754E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77 6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>00 Kč</w:t>
            </w:r>
          </w:p>
        </w:tc>
      </w:tr>
    </w:tbl>
    <w:p w14:paraId="04ADAE59" w14:textId="77777777" w:rsidR="009B2B64" w:rsidRPr="00FC33A4" w:rsidRDefault="009B2B64" w:rsidP="009B2B64">
      <w:pPr>
        <w:spacing w:before="240" w:after="240"/>
        <w:jc w:val="center"/>
        <w:rPr>
          <w:color w:val="808080" w:themeColor="background1" w:themeShade="80"/>
          <w:sz w:val="28"/>
          <w:szCs w:val="28"/>
        </w:rPr>
      </w:pPr>
      <w:r w:rsidRPr="00FC33A4">
        <w:rPr>
          <w:color w:val="808080" w:themeColor="background1" w:themeShade="80"/>
          <w:sz w:val="28"/>
          <w:szCs w:val="28"/>
        </w:rPr>
        <w:t>PRŮMĚRNÉ CENY A VELIKOSTI VOLNÝCH BYTŮ V BRNĚ PODLE DISPOZICE</w:t>
      </w:r>
    </w:p>
    <w:p w14:paraId="4BB5423C" w14:textId="2381635B" w:rsidR="00AD2B8B" w:rsidRDefault="00AD2B8B" w:rsidP="00E445E5">
      <w:pPr>
        <w:rPr>
          <w:rFonts w:ascii="Arial" w:hAnsi="Arial" w:cs="Arial"/>
          <w:sz w:val="20"/>
          <w:szCs w:val="20"/>
        </w:rPr>
      </w:pPr>
    </w:p>
    <w:p w14:paraId="16062C7B" w14:textId="77777777" w:rsidR="009B2B64" w:rsidRDefault="009B2B64" w:rsidP="00E445E5">
      <w:pPr>
        <w:rPr>
          <w:rFonts w:ascii="Arial" w:hAnsi="Arial" w:cs="Arial"/>
          <w:sz w:val="20"/>
          <w:szCs w:val="20"/>
        </w:rPr>
      </w:pPr>
    </w:p>
    <w:p w14:paraId="05E51B3E" w14:textId="77777777" w:rsidR="009B2B64" w:rsidRDefault="009B2B64" w:rsidP="00E445E5">
      <w:pPr>
        <w:rPr>
          <w:rFonts w:ascii="Arial" w:hAnsi="Arial" w:cs="Arial"/>
          <w:sz w:val="20"/>
          <w:szCs w:val="20"/>
        </w:rPr>
      </w:pPr>
    </w:p>
    <w:p w14:paraId="4152C19C" w14:textId="1E778624" w:rsidR="009B2B64" w:rsidRDefault="009B2B64" w:rsidP="00E445E5">
      <w:pPr>
        <w:rPr>
          <w:rFonts w:ascii="Arial" w:hAnsi="Arial" w:cs="Arial"/>
          <w:sz w:val="20"/>
          <w:szCs w:val="20"/>
        </w:rPr>
      </w:pPr>
    </w:p>
    <w:p w14:paraId="6A61CD85" w14:textId="77777777" w:rsidR="003E66F3" w:rsidRDefault="003E66F3" w:rsidP="00E445E5">
      <w:pPr>
        <w:rPr>
          <w:rFonts w:ascii="Arial" w:hAnsi="Arial" w:cs="Arial"/>
          <w:sz w:val="20"/>
          <w:szCs w:val="20"/>
        </w:rPr>
      </w:pPr>
    </w:p>
    <w:p w14:paraId="1EDA5E55" w14:textId="77777777" w:rsidR="009B2B64" w:rsidRDefault="009B2B64" w:rsidP="00E445E5">
      <w:pPr>
        <w:rPr>
          <w:rFonts w:ascii="Arial" w:hAnsi="Arial" w:cs="Arial"/>
          <w:sz w:val="20"/>
          <w:szCs w:val="20"/>
        </w:rPr>
      </w:pPr>
    </w:p>
    <w:p w14:paraId="31B511E9" w14:textId="538BBF0D" w:rsidR="009B2B64" w:rsidRDefault="009B2B64" w:rsidP="009B2B64">
      <w:pPr>
        <w:spacing w:before="60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Vlastní bydlení si v brněnských novostavbách může dovolit stále méně lidí</w:t>
      </w:r>
    </w:p>
    <w:p w14:paraId="75E8CB9C" w14:textId="0062E28B" w:rsidR="009B2B64" w:rsidRDefault="009B2B64" w:rsidP="009B2B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brněnských novostavbách našlo v uplynulých třech měsících své kupce celkem 223 bytů. „</w:t>
      </w:r>
      <w:r w:rsidRPr="0012388E">
        <w:rPr>
          <w:rFonts w:ascii="Arial" w:hAnsi="Arial" w:cs="Arial"/>
          <w:i/>
          <w:sz w:val="20"/>
          <w:szCs w:val="20"/>
        </w:rPr>
        <w:t xml:space="preserve">Lidé kupovali </w:t>
      </w:r>
      <w:r w:rsidRPr="007B1983">
        <w:rPr>
          <w:rFonts w:ascii="Arial" w:hAnsi="Arial" w:cs="Arial"/>
          <w:i/>
          <w:sz w:val="20"/>
          <w:szCs w:val="20"/>
        </w:rPr>
        <w:t xml:space="preserve">především dvoupokojové byty s průměrnou cenou </w:t>
      </w:r>
      <w:r>
        <w:rPr>
          <w:rFonts w:ascii="Arial" w:hAnsi="Arial" w:cs="Arial"/>
          <w:i/>
          <w:sz w:val="20"/>
          <w:szCs w:val="20"/>
        </w:rPr>
        <w:t>3,</w:t>
      </w:r>
      <w:r w:rsidRPr="007B1983">
        <w:rPr>
          <w:rFonts w:ascii="Arial" w:hAnsi="Arial" w:cs="Arial"/>
          <w:i/>
          <w:sz w:val="20"/>
          <w:szCs w:val="20"/>
        </w:rPr>
        <w:t>78 milion</w:t>
      </w:r>
      <w:r w:rsidR="008523D9">
        <w:rPr>
          <w:rFonts w:ascii="Arial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B1983">
        <w:rPr>
          <w:rFonts w:ascii="Arial" w:hAnsi="Arial" w:cs="Arial"/>
          <w:i/>
          <w:sz w:val="20"/>
          <w:szCs w:val="20"/>
        </w:rPr>
        <w:t>korun a byty v centru. Celkem dvě třetiny</w:t>
      </w:r>
      <w:r w:rsidRPr="0012388E">
        <w:rPr>
          <w:rFonts w:ascii="Arial" w:hAnsi="Arial" w:cs="Arial"/>
          <w:i/>
          <w:sz w:val="20"/>
          <w:szCs w:val="20"/>
        </w:rPr>
        <w:t xml:space="preserve"> všech prodaných bytů byl</w:t>
      </w:r>
      <w:r>
        <w:rPr>
          <w:rFonts w:ascii="Arial" w:hAnsi="Arial" w:cs="Arial"/>
          <w:i/>
          <w:sz w:val="20"/>
          <w:szCs w:val="20"/>
        </w:rPr>
        <w:t>y</w:t>
      </w:r>
      <w:r w:rsidRPr="0012388E">
        <w:rPr>
          <w:rFonts w:ascii="Arial" w:hAnsi="Arial" w:cs="Arial"/>
          <w:i/>
          <w:sz w:val="20"/>
          <w:szCs w:val="20"/>
        </w:rPr>
        <w:t xml:space="preserve"> v městských částech Brno</w:t>
      </w:r>
      <w:r>
        <w:rPr>
          <w:rFonts w:ascii="Arial" w:hAnsi="Arial" w:cs="Arial"/>
          <w:i/>
          <w:sz w:val="20"/>
          <w:szCs w:val="20"/>
        </w:rPr>
        <w:t>-</w:t>
      </w:r>
      <w:r w:rsidRPr="0012388E">
        <w:rPr>
          <w:rFonts w:ascii="Arial" w:hAnsi="Arial" w:cs="Arial"/>
          <w:i/>
          <w:sz w:val="20"/>
          <w:szCs w:val="20"/>
        </w:rPr>
        <w:t>střed a Královo Pole</w:t>
      </w:r>
      <w:r>
        <w:rPr>
          <w:rFonts w:ascii="Arial" w:hAnsi="Arial" w:cs="Arial"/>
          <w:sz w:val="20"/>
          <w:szCs w:val="20"/>
        </w:rPr>
        <w:t>,“ upřesňuje Alexej Veselý.</w:t>
      </w:r>
    </w:p>
    <w:p w14:paraId="632AA224" w14:textId="3BF9FBB2" w:rsidR="009B2B64" w:rsidRDefault="009B2B64" w:rsidP="009B2B64">
      <w:pPr>
        <w:jc w:val="both"/>
        <w:rPr>
          <w:rFonts w:ascii="Arial" w:hAnsi="Arial" w:cs="Arial"/>
          <w:sz w:val="20"/>
          <w:szCs w:val="20"/>
        </w:rPr>
      </w:pPr>
      <w:r w:rsidRPr="00291221">
        <w:rPr>
          <w:rFonts w:ascii="Arial" w:hAnsi="Arial" w:cs="Arial"/>
          <w:sz w:val="20"/>
          <w:szCs w:val="20"/>
        </w:rPr>
        <w:t xml:space="preserve">Přestože se v tomto čtvrtletí prodalo stejně bytů jako v předchozích dvou dohromady, dlouhodobě prodeje klesají. </w:t>
      </w:r>
      <w:r>
        <w:rPr>
          <w:rFonts w:ascii="Arial" w:hAnsi="Arial" w:cs="Arial"/>
          <w:sz w:val="20"/>
          <w:szCs w:val="20"/>
        </w:rPr>
        <w:t>Zatímco v roce 2016 se během prvních devíti měsíců prodalo hned 1</w:t>
      </w:r>
      <w:r w:rsidR="008523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195 nových bytů, loni už to za stejné období bylo o 430 bytů méně. V letošním roce se od začátku ledna do konce září prodalo celkem 452 nových bytů, což ukazuje na trend meziročního poklesu prodejů o 35 až 40 procent. </w:t>
      </w:r>
      <w:r>
        <w:rPr>
          <w:rFonts w:ascii="Arial" w:hAnsi="Arial" w:cs="Arial"/>
          <w:sz w:val="20"/>
          <w:szCs w:val="20"/>
        </w:rPr>
        <w:lastRenderedPageBreak/>
        <w:t>Ani poslední šance sjednat hypotéku za starších, výhodnějších podmínek se na prodejích neprojevila tolik, jak se čekalo. Je tedy patrné, že</w:t>
      </w:r>
      <w:r w:rsidRPr="00C37E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ubývá lidí, kteří si byty v novostavbách mohou dovolit.</w:t>
      </w:r>
    </w:p>
    <w:p w14:paraId="3708AEE7" w14:textId="71BFA08B" w:rsidR="009B2B64" w:rsidRDefault="009B2B64" w:rsidP="009B2B64">
      <w:pPr>
        <w:jc w:val="both"/>
        <w:rPr>
          <w:rFonts w:ascii="Arial" w:hAnsi="Arial" w:cs="Arial"/>
          <w:sz w:val="20"/>
          <w:szCs w:val="20"/>
        </w:rPr>
      </w:pPr>
      <w:r w:rsidRPr="004759FB">
        <w:rPr>
          <w:rFonts w:ascii="Arial" w:hAnsi="Arial" w:cs="Arial"/>
          <w:i/>
          <w:noProof/>
          <w:sz w:val="20"/>
          <w:szCs w:val="20"/>
          <w:highlight w:val="yellow"/>
          <w:lang w:eastAsia="cs-CZ"/>
        </w:rPr>
        <w:drawing>
          <wp:anchor distT="0" distB="0" distL="114300" distR="114300" simplePos="0" relativeHeight="251663360" behindDoc="0" locked="0" layoutInCell="1" allowOverlap="1" wp14:anchorId="394CBDC3" wp14:editId="5BCC7F8A">
            <wp:simplePos x="0" y="0"/>
            <wp:positionH relativeFrom="margin">
              <wp:align>right</wp:align>
            </wp:positionH>
            <wp:positionV relativeFrom="margin">
              <wp:posOffset>1074420</wp:posOffset>
            </wp:positionV>
            <wp:extent cx="5745480" cy="2196465"/>
            <wp:effectExtent l="0" t="0" r="7620" b="13335"/>
            <wp:wrapSquare wrapText="bothSides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A93E180-A990-449A-B303-B62EF0F08B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„</w:t>
      </w:r>
      <w:r w:rsidRPr="007E5096">
        <w:rPr>
          <w:rFonts w:ascii="Arial" w:hAnsi="Arial" w:cs="Arial"/>
          <w:i/>
          <w:sz w:val="20"/>
          <w:szCs w:val="20"/>
        </w:rPr>
        <w:t xml:space="preserve">Pokles prodejů bezesporu souvisí s růstem cen bytů. Ještě před rokem stačilo ve třetím čtvrtletí zájemcům o nové bydlení v Brně v průměru 3,28 milionu, letos už to </w:t>
      </w:r>
      <w:r w:rsidRPr="00C54F45">
        <w:rPr>
          <w:rFonts w:ascii="Arial" w:hAnsi="Arial" w:cs="Arial"/>
          <w:i/>
          <w:sz w:val="20"/>
          <w:szCs w:val="20"/>
        </w:rPr>
        <w:t xml:space="preserve">byly </w:t>
      </w:r>
      <w:r w:rsidR="008523D9">
        <w:rPr>
          <w:rFonts w:ascii="Arial" w:hAnsi="Arial" w:cs="Arial"/>
          <w:i/>
          <w:sz w:val="20"/>
          <w:szCs w:val="20"/>
        </w:rPr>
        <w:t>čtyři</w:t>
      </w:r>
      <w:r w:rsidRPr="00C54F45">
        <w:rPr>
          <w:rFonts w:ascii="Arial" w:hAnsi="Arial" w:cs="Arial"/>
          <w:i/>
          <w:sz w:val="20"/>
          <w:szCs w:val="20"/>
        </w:rPr>
        <w:t xml:space="preserve"> miliony</w:t>
      </w:r>
      <w:r w:rsidRPr="007E5096">
        <w:rPr>
          <w:rFonts w:ascii="Arial" w:hAnsi="Arial" w:cs="Arial"/>
          <w:i/>
          <w:sz w:val="20"/>
          <w:szCs w:val="20"/>
        </w:rPr>
        <w:t>. To představuje meziroční nárůst cen o 22 procent</w:t>
      </w:r>
      <w:r>
        <w:rPr>
          <w:rFonts w:ascii="Arial" w:hAnsi="Arial" w:cs="Arial"/>
          <w:sz w:val="20"/>
          <w:szCs w:val="20"/>
        </w:rPr>
        <w:t>,“ říká Alexej Veselý.</w:t>
      </w:r>
    </w:p>
    <w:p w14:paraId="27D601DE" w14:textId="77777777" w:rsidR="009B2B64" w:rsidRDefault="009B2B64" w:rsidP="009B2B64">
      <w:pPr>
        <w:jc w:val="both"/>
        <w:rPr>
          <w:rFonts w:ascii="Arial" w:hAnsi="Arial" w:cs="Arial"/>
          <w:sz w:val="20"/>
          <w:szCs w:val="20"/>
        </w:rPr>
      </w:pPr>
    </w:p>
    <w:p w14:paraId="57A26162" w14:textId="2B621939" w:rsidR="009B2B64" w:rsidRPr="009B2B64" w:rsidRDefault="009B2B64" w:rsidP="009B2B64">
      <w:pPr>
        <w:jc w:val="both"/>
        <w:rPr>
          <w:rFonts w:ascii="Arial" w:hAnsi="Arial" w:cs="Arial"/>
          <w:b/>
          <w:sz w:val="20"/>
          <w:szCs w:val="20"/>
        </w:rPr>
      </w:pPr>
      <w:r w:rsidRPr="004C2A66">
        <w:rPr>
          <w:rFonts w:ascii="Arial" w:hAnsi="Arial" w:cs="Arial"/>
          <w:b/>
          <w:sz w:val="20"/>
          <w:szCs w:val="20"/>
        </w:rPr>
        <w:t>Kudy ven z realitní krize? Pomůže nový územní plán</w:t>
      </w:r>
    </w:p>
    <w:p w14:paraId="1BD174BB" w14:textId="3B7C559D" w:rsidR="009B2B64" w:rsidRDefault="009B2B64" w:rsidP="009B2B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Naději</w:t>
      </w:r>
      <w:r w:rsidRPr="000571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zlepšení situace na trhu s</w:t>
      </w:r>
      <w:r w:rsidR="00A769F2">
        <w:rPr>
          <w:rFonts w:ascii="Arial" w:hAnsi="Arial" w:cs="Arial"/>
          <w:sz w:val="20"/>
          <w:szCs w:val="20"/>
        </w:rPr>
        <w:t xml:space="preserve"> menšími byty </w:t>
      </w:r>
      <w:r>
        <w:rPr>
          <w:rFonts w:ascii="Arial" w:hAnsi="Arial" w:cs="Arial"/>
          <w:sz w:val="20"/>
          <w:szCs w:val="20"/>
        </w:rPr>
        <w:t xml:space="preserve">do budoucna </w:t>
      </w:r>
      <w:r w:rsidRPr="0005712A">
        <w:rPr>
          <w:rFonts w:ascii="Arial" w:hAnsi="Arial" w:cs="Arial"/>
          <w:sz w:val="20"/>
          <w:szCs w:val="20"/>
        </w:rPr>
        <w:t xml:space="preserve">představuje především nový územní plán, </w:t>
      </w:r>
      <w:r>
        <w:rPr>
          <w:rFonts w:ascii="Arial" w:hAnsi="Arial" w:cs="Arial"/>
          <w:sz w:val="20"/>
          <w:szCs w:val="20"/>
        </w:rPr>
        <w:t>jehož zpracování radnice v srpnu zadala Kanceláři architekta města Brna. Dokument</w:t>
      </w:r>
      <w:r w:rsidRPr="0005712A">
        <w:rPr>
          <w:rFonts w:ascii="Arial" w:hAnsi="Arial" w:cs="Arial"/>
          <w:sz w:val="20"/>
          <w:szCs w:val="20"/>
        </w:rPr>
        <w:t xml:space="preserve"> vš</w:t>
      </w:r>
      <w:r>
        <w:rPr>
          <w:rFonts w:ascii="Arial" w:hAnsi="Arial" w:cs="Arial"/>
          <w:sz w:val="20"/>
          <w:szCs w:val="20"/>
        </w:rPr>
        <w:t>ak má být hotový až v roce 2022</w:t>
      </w:r>
      <w:r w:rsidR="0031244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není tedy řešením aktuální krizov</w:t>
      </w:r>
      <w:r w:rsidR="009579D2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situac</w:t>
      </w:r>
      <w:r w:rsidR="009579D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.</w:t>
      </w:r>
    </w:p>
    <w:p w14:paraId="040EBA80" w14:textId="4E76AE21" w:rsidR="00A769F2" w:rsidRDefault="009B2B64" w:rsidP="009B2B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225153">
        <w:rPr>
          <w:rFonts w:ascii="Arial" w:hAnsi="Arial" w:cs="Arial"/>
          <w:i/>
          <w:sz w:val="20"/>
          <w:szCs w:val="20"/>
        </w:rPr>
        <w:t>Byl</w:t>
      </w:r>
      <w:r w:rsidR="0031244C">
        <w:rPr>
          <w:rFonts w:ascii="Arial" w:hAnsi="Arial" w:cs="Arial"/>
          <w:i/>
          <w:sz w:val="20"/>
          <w:szCs w:val="20"/>
        </w:rPr>
        <w:t>a</w:t>
      </w:r>
      <w:r w:rsidRPr="00225153">
        <w:rPr>
          <w:rFonts w:ascii="Arial" w:hAnsi="Arial" w:cs="Arial"/>
          <w:i/>
          <w:sz w:val="20"/>
          <w:szCs w:val="20"/>
        </w:rPr>
        <w:t xml:space="preserve"> by chyb</w:t>
      </w:r>
      <w:r w:rsidR="0031244C">
        <w:rPr>
          <w:rFonts w:ascii="Arial" w:hAnsi="Arial" w:cs="Arial"/>
          <w:i/>
          <w:sz w:val="20"/>
          <w:szCs w:val="20"/>
        </w:rPr>
        <w:t>a</w:t>
      </w:r>
      <w:r w:rsidRPr="00225153">
        <w:rPr>
          <w:rFonts w:ascii="Arial" w:hAnsi="Arial" w:cs="Arial"/>
          <w:i/>
          <w:sz w:val="20"/>
          <w:szCs w:val="20"/>
        </w:rPr>
        <w:t xml:space="preserve"> nyní tři roky pouze vyčkávat na nový územní plán, když se v Brně nachází </w:t>
      </w:r>
      <w:r w:rsidR="00A769F2">
        <w:rPr>
          <w:rFonts w:ascii="Arial" w:hAnsi="Arial" w:cs="Arial"/>
          <w:i/>
          <w:sz w:val="20"/>
          <w:szCs w:val="20"/>
        </w:rPr>
        <w:t xml:space="preserve">hned </w:t>
      </w:r>
      <w:r w:rsidRPr="00225153">
        <w:rPr>
          <w:rFonts w:ascii="Arial" w:hAnsi="Arial" w:cs="Arial"/>
          <w:i/>
          <w:sz w:val="20"/>
          <w:szCs w:val="20"/>
        </w:rPr>
        <w:t xml:space="preserve">několik </w:t>
      </w:r>
      <w:r w:rsidR="00A769F2">
        <w:rPr>
          <w:rFonts w:ascii="Arial" w:hAnsi="Arial" w:cs="Arial"/>
          <w:i/>
          <w:sz w:val="20"/>
          <w:szCs w:val="20"/>
        </w:rPr>
        <w:t xml:space="preserve">velkých </w:t>
      </w:r>
      <w:r w:rsidRPr="00225153">
        <w:rPr>
          <w:rFonts w:ascii="Arial" w:hAnsi="Arial" w:cs="Arial"/>
          <w:i/>
          <w:sz w:val="20"/>
          <w:szCs w:val="20"/>
        </w:rPr>
        <w:t>nezastavěných rozvojových ploch</w:t>
      </w:r>
      <w:r>
        <w:rPr>
          <w:rFonts w:ascii="Arial" w:hAnsi="Arial" w:cs="Arial"/>
          <w:i/>
          <w:sz w:val="20"/>
          <w:szCs w:val="20"/>
        </w:rPr>
        <w:t>, se kterými se pro výstavbu stejně dlouhodobě počítá</w:t>
      </w:r>
      <w:r w:rsidRPr="00225153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5E7C5E">
        <w:rPr>
          <w:rFonts w:ascii="Arial" w:hAnsi="Arial" w:cs="Arial"/>
          <w:i/>
          <w:sz w:val="20"/>
          <w:szCs w:val="20"/>
        </w:rPr>
        <w:t>Výstavba na nich</w:t>
      </w:r>
      <w:r w:rsidRPr="00225153">
        <w:rPr>
          <w:rFonts w:ascii="Arial" w:hAnsi="Arial" w:cs="Arial"/>
          <w:i/>
          <w:sz w:val="20"/>
          <w:szCs w:val="20"/>
        </w:rPr>
        <w:t xml:space="preserve"> by </w:t>
      </w:r>
      <w:r w:rsidR="005E7C5E">
        <w:rPr>
          <w:rFonts w:ascii="Arial" w:hAnsi="Arial" w:cs="Arial"/>
          <w:i/>
          <w:sz w:val="20"/>
          <w:szCs w:val="20"/>
        </w:rPr>
        <w:t>mohla</w:t>
      </w:r>
      <w:r>
        <w:rPr>
          <w:rFonts w:ascii="Arial" w:hAnsi="Arial" w:cs="Arial"/>
          <w:i/>
          <w:sz w:val="20"/>
          <w:szCs w:val="20"/>
        </w:rPr>
        <w:t xml:space="preserve"> ceny bytů opět </w:t>
      </w:r>
      <w:r w:rsidR="00114C25">
        <w:rPr>
          <w:rFonts w:ascii="Arial" w:hAnsi="Arial" w:cs="Arial"/>
          <w:i/>
          <w:sz w:val="20"/>
          <w:szCs w:val="20"/>
        </w:rPr>
        <w:t>snížit</w:t>
      </w:r>
      <w:r>
        <w:rPr>
          <w:rFonts w:ascii="Arial" w:hAnsi="Arial" w:cs="Arial"/>
          <w:i/>
          <w:sz w:val="20"/>
          <w:szCs w:val="20"/>
        </w:rPr>
        <w:t xml:space="preserve">,“ </w:t>
      </w:r>
      <w:r>
        <w:rPr>
          <w:rFonts w:ascii="Arial" w:hAnsi="Arial" w:cs="Arial"/>
          <w:sz w:val="20"/>
          <w:szCs w:val="20"/>
        </w:rPr>
        <w:t>komentuje Alexej Veselý.</w:t>
      </w:r>
      <w:bookmarkStart w:id="0" w:name="_GoBack"/>
      <w:bookmarkEnd w:id="0"/>
    </w:p>
    <w:p w14:paraId="28F96439" w14:textId="76BB9EB9" w:rsidR="00A769F2" w:rsidRDefault="00A769F2" w:rsidP="009B2B6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Vzniku nových, levnějších bytů ale nebrání jen zdlouhavé povolovací procesy</w:t>
      </w:r>
      <w:r w:rsidR="009B2B64">
        <w:rPr>
          <w:rFonts w:ascii="Arial" w:hAnsi="Arial" w:cs="Arial"/>
          <w:sz w:val="20"/>
          <w:szCs w:val="20"/>
        </w:rPr>
        <w:t xml:space="preserve"> a protahování</w:t>
      </w:r>
      <w:r>
        <w:rPr>
          <w:rFonts w:ascii="Arial" w:hAnsi="Arial" w:cs="Arial"/>
          <w:sz w:val="20"/>
          <w:szCs w:val="20"/>
        </w:rPr>
        <w:t xml:space="preserve"> správních lhůt ze strany úřadů. Na stavbu velkých projekt</w:t>
      </w:r>
      <w:r w:rsidR="0031244C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má totiž vliv i značný nárůst cen stavebních materiálů a současný nedostatek pracovních sil. </w:t>
      </w:r>
    </w:p>
    <w:p w14:paraId="715C9F9B" w14:textId="77777777" w:rsidR="009B2B64" w:rsidRPr="00E445E5" w:rsidRDefault="009B2B64" w:rsidP="009B2B64">
      <w:pPr>
        <w:spacing w:before="24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</w:t>
      </w:r>
    </w:p>
    <w:p w14:paraId="0963E7EF" w14:textId="77777777" w:rsidR="009B2B64" w:rsidRPr="00BC2DE6" w:rsidRDefault="009B2B64" w:rsidP="009B2B64">
      <w:pPr>
        <w:pStyle w:val="Bezmezer"/>
        <w:rPr>
          <w:rFonts w:ascii="Arial" w:hAnsi="Arial" w:cs="Arial"/>
          <w:sz w:val="20"/>
          <w:szCs w:val="20"/>
        </w:rPr>
      </w:pPr>
      <w:r w:rsidRPr="00BC2DE6">
        <w:rPr>
          <w:rFonts w:ascii="Arial" w:hAnsi="Arial" w:cs="Arial"/>
          <w:b/>
          <w:sz w:val="20"/>
          <w:szCs w:val="20"/>
        </w:rPr>
        <w:t>Autor analýzy:</w:t>
      </w:r>
      <w:r>
        <w:rPr>
          <w:rFonts w:ascii="Arial" w:hAnsi="Arial" w:cs="Arial"/>
          <w:sz w:val="20"/>
          <w:szCs w:val="20"/>
        </w:rPr>
        <w:t xml:space="preserve"> František Šudřich, obchodní ředitel</w:t>
      </w:r>
      <w:r w:rsidRPr="00BC2DE6">
        <w:rPr>
          <w:rFonts w:ascii="Arial" w:hAnsi="Arial" w:cs="Arial"/>
          <w:sz w:val="20"/>
          <w:szCs w:val="20"/>
        </w:rPr>
        <w:t xml:space="preserve"> společnosti Trikaya</w:t>
      </w:r>
    </w:p>
    <w:p w14:paraId="58C58195" w14:textId="22B96D99" w:rsidR="009B2B64" w:rsidRDefault="009B2B64" w:rsidP="009B2B64">
      <w:pPr>
        <w:rPr>
          <w:rFonts w:ascii="Arial" w:hAnsi="Arial" w:cs="Arial"/>
          <w:sz w:val="20"/>
          <w:szCs w:val="20"/>
        </w:rPr>
      </w:pPr>
      <w:r w:rsidRPr="00BC2DE6">
        <w:rPr>
          <w:rFonts w:ascii="Arial" w:hAnsi="Arial" w:cs="Arial"/>
          <w:b/>
          <w:sz w:val="20"/>
          <w:szCs w:val="20"/>
        </w:rPr>
        <w:t>Kontakt pro média:</w:t>
      </w:r>
      <w:r w:rsidRPr="00BC2D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Petra Filsaková,</w:t>
      </w:r>
      <w:r w:rsidRPr="00BC2DE6">
        <w:rPr>
          <w:rFonts w:ascii="Arial" w:hAnsi="Arial" w:cs="Arial"/>
          <w:sz w:val="20"/>
          <w:szCs w:val="20"/>
        </w:rPr>
        <w:t xml:space="preserve"> Ewing PR; </w:t>
      </w:r>
      <w:hyperlink r:id="rId10" w:history="1">
        <w:r w:rsidRPr="002D7537">
          <w:rPr>
            <w:rStyle w:val="Hypertextovodkaz"/>
            <w:rFonts w:ascii="Arial" w:hAnsi="Arial" w:cs="Arial"/>
            <w:sz w:val="20"/>
            <w:szCs w:val="20"/>
          </w:rPr>
          <w:t>filsakova@ewingpr.cz</w:t>
        </w:r>
      </w:hyperlink>
      <w:r w:rsidRPr="00BC2DE6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t</w:t>
      </w:r>
      <w:r w:rsidRPr="00BC2DE6">
        <w:rPr>
          <w:rFonts w:ascii="Arial" w:hAnsi="Arial" w:cs="Arial"/>
          <w:sz w:val="20"/>
          <w:szCs w:val="20"/>
        </w:rPr>
        <w:t xml:space="preserve">el.: </w:t>
      </w:r>
      <w:r>
        <w:rPr>
          <w:rFonts w:ascii="Arial" w:hAnsi="Arial" w:cs="Arial"/>
          <w:sz w:val="20"/>
          <w:szCs w:val="20"/>
        </w:rPr>
        <w:t>721 959 962</w:t>
      </w:r>
    </w:p>
    <w:p w14:paraId="33C7AAD8" w14:textId="77777777" w:rsidR="009B2B64" w:rsidRPr="00E445E5" w:rsidRDefault="009B2B64" w:rsidP="009B2B64">
      <w:pPr>
        <w:jc w:val="both"/>
        <w:rPr>
          <w:rFonts w:ascii="Arial" w:hAnsi="Arial" w:cs="Arial"/>
          <w:sz w:val="20"/>
          <w:szCs w:val="20"/>
        </w:rPr>
      </w:pPr>
    </w:p>
    <w:sectPr w:rsidR="009B2B64" w:rsidRPr="00E445E5" w:rsidSect="00F315BB">
      <w:headerReference w:type="default" r:id="rId11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14FF4" w14:textId="77777777" w:rsidR="00AE037D" w:rsidRDefault="00AE037D" w:rsidP="0026057F">
      <w:pPr>
        <w:spacing w:after="0" w:line="240" w:lineRule="auto"/>
      </w:pPr>
      <w:r>
        <w:separator/>
      </w:r>
    </w:p>
  </w:endnote>
  <w:endnote w:type="continuationSeparator" w:id="0">
    <w:p w14:paraId="753C259A" w14:textId="77777777" w:rsidR="00AE037D" w:rsidRDefault="00AE037D" w:rsidP="0026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E4F81" w14:textId="77777777" w:rsidR="00AE037D" w:rsidRDefault="00AE037D" w:rsidP="0026057F">
      <w:pPr>
        <w:spacing w:after="0" w:line="240" w:lineRule="auto"/>
      </w:pPr>
      <w:r>
        <w:separator/>
      </w:r>
    </w:p>
  </w:footnote>
  <w:footnote w:type="continuationSeparator" w:id="0">
    <w:p w14:paraId="6454516F" w14:textId="77777777" w:rsidR="00AE037D" w:rsidRDefault="00AE037D" w:rsidP="0026057F">
      <w:pPr>
        <w:spacing w:after="0" w:line="240" w:lineRule="auto"/>
      </w:pPr>
      <w:r>
        <w:continuationSeparator/>
      </w:r>
    </w:p>
  </w:footnote>
  <w:footnote w:id="1">
    <w:p w14:paraId="1539F9B0" w14:textId="16C50842" w:rsidR="009B2B64" w:rsidRDefault="009B2B64" w:rsidP="009B2B64">
      <w:pPr>
        <w:pStyle w:val="Textpoznpodarou"/>
      </w:pPr>
      <w:r>
        <w:rPr>
          <w:rStyle w:val="Znakapoznpodarou"/>
        </w:rPr>
        <w:footnoteRef/>
      </w:r>
      <w:r>
        <w:t xml:space="preserve"> Počítána jako dostupná cena bytu s DPH dělen</w:t>
      </w:r>
      <w:r w:rsidR="00131439">
        <w:t>á</w:t>
      </w:r>
      <w:r>
        <w:t xml:space="preserve"> podlahovou plochou uváděnou stavitelem (nejčastěji celková podlahová plocha dle NOZ)</w:t>
      </w:r>
      <w:r w:rsidR="0013143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C93FA" w14:textId="04D9D9AD" w:rsidR="00E445E5" w:rsidRDefault="00E445E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48070C1" wp14:editId="10DDCD69">
          <wp:simplePos x="0" y="0"/>
          <wp:positionH relativeFrom="margin">
            <wp:posOffset>-906449</wp:posOffset>
          </wp:positionH>
          <wp:positionV relativeFrom="paragraph">
            <wp:posOffset>-448310</wp:posOffset>
          </wp:positionV>
          <wp:extent cx="7590790" cy="614680"/>
          <wp:effectExtent l="0" t="0" r="0" b="0"/>
          <wp:wrapTight wrapText="bothSides">
            <wp:wrapPolygon edited="0">
              <wp:start x="0" y="0"/>
              <wp:lineTo x="0" y="20752"/>
              <wp:lineTo x="21520" y="20752"/>
              <wp:lineTo x="21520" y="0"/>
              <wp:lineTo x="0" y="0"/>
            </wp:wrapPolygon>
          </wp:wrapTight>
          <wp:docPr id="12" name="Obrázek 12" descr="hlavi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83"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E6432"/>
    <w:multiLevelType w:val="hybridMultilevel"/>
    <w:tmpl w:val="3D6CB720"/>
    <w:lvl w:ilvl="0" w:tplc="C82E0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46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8A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14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8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C0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2C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43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6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67"/>
    <w:rsid w:val="0000124A"/>
    <w:rsid w:val="00005AEF"/>
    <w:rsid w:val="000279EC"/>
    <w:rsid w:val="000375E6"/>
    <w:rsid w:val="00054B6A"/>
    <w:rsid w:val="00067082"/>
    <w:rsid w:val="00072DE1"/>
    <w:rsid w:val="000C03CF"/>
    <w:rsid w:val="000D770A"/>
    <w:rsid w:val="000E1DC6"/>
    <w:rsid w:val="000E7C05"/>
    <w:rsid w:val="000F4BE8"/>
    <w:rsid w:val="000F6C66"/>
    <w:rsid w:val="00104FC5"/>
    <w:rsid w:val="00106314"/>
    <w:rsid w:val="001125B8"/>
    <w:rsid w:val="00114C25"/>
    <w:rsid w:val="0011729E"/>
    <w:rsid w:val="00120CED"/>
    <w:rsid w:val="001252D3"/>
    <w:rsid w:val="001302B0"/>
    <w:rsid w:val="00131439"/>
    <w:rsid w:val="00135746"/>
    <w:rsid w:val="00152CD7"/>
    <w:rsid w:val="00154949"/>
    <w:rsid w:val="00180D02"/>
    <w:rsid w:val="001822AD"/>
    <w:rsid w:val="001A6B45"/>
    <w:rsid w:val="001B0CE5"/>
    <w:rsid w:val="001B2E21"/>
    <w:rsid w:val="001B5B6C"/>
    <w:rsid w:val="001B6102"/>
    <w:rsid w:val="001B6A9D"/>
    <w:rsid w:val="001C1541"/>
    <w:rsid w:val="001C7302"/>
    <w:rsid w:val="001E32A0"/>
    <w:rsid w:val="0020314F"/>
    <w:rsid w:val="00210767"/>
    <w:rsid w:val="002144EC"/>
    <w:rsid w:val="00221756"/>
    <w:rsid w:val="002301B0"/>
    <w:rsid w:val="00252963"/>
    <w:rsid w:val="0026057F"/>
    <w:rsid w:val="00261A1D"/>
    <w:rsid w:val="002B5B86"/>
    <w:rsid w:val="002C14DC"/>
    <w:rsid w:val="002C2C04"/>
    <w:rsid w:val="002C485F"/>
    <w:rsid w:val="002D2604"/>
    <w:rsid w:val="002E5AC5"/>
    <w:rsid w:val="002F32F3"/>
    <w:rsid w:val="002F6110"/>
    <w:rsid w:val="0031244C"/>
    <w:rsid w:val="0031739E"/>
    <w:rsid w:val="00327270"/>
    <w:rsid w:val="003359BD"/>
    <w:rsid w:val="00346122"/>
    <w:rsid w:val="003513FA"/>
    <w:rsid w:val="00364628"/>
    <w:rsid w:val="00367C9E"/>
    <w:rsid w:val="00370B6A"/>
    <w:rsid w:val="00377EE9"/>
    <w:rsid w:val="00385F14"/>
    <w:rsid w:val="003A6095"/>
    <w:rsid w:val="003A64FF"/>
    <w:rsid w:val="003C703E"/>
    <w:rsid w:val="003E09D2"/>
    <w:rsid w:val="003E2190"/>
    <w:rsid w:val="003E66F3"/>
    <w:rsid w:val="003F663F"/>
    <w:rsid w:val="0040251E"/>
    <w:rsid w:val="004076D0"/>
    <w:rsid w:val="004237C1"/>
    <w:rsid w:val="00424397"/>
    <w:rsid w:val="00425BAB"/>
    <w:rsid w:val="004313F4"/>
    <w:rsid w:val="00433D64"/>
    <w:rsid w:val="00455FDE"/>
    <w:rsid w:val="0048186B"/>
    <w:rsid w:val="00482BF5"/>
    <w:rsid w:val="00496ED3"/>
    <w:rsid w:val="004A1B18"/>
    <w:rsid w:val="004B32B1"/>
    <w:rsid w:val="004F7FD9"/>
    <w:rsid w:val="00515068"/>
    <w:rsid w:val="00527667"/>
    <w:rsid w:val="00535F1B"/>
    <w:rsid w:val="0055334F"/>
    <w:rsid w:val="00564D7E"/>
    <w:rsid w:val="00585AC0"/>
    <w:rsid w:val="005A314C"/>
    <w:rsid w:val="005B1B6E"/>
    <w:rsid w:val="005C1C39"/>
    <w:rsid w:val="005C6BAD"/>
    <w:rsid w:val="005C70BD"/>
    <w:rsid w:val="005D3EB6"/>
    <w:rsid w:val="005E7C5E"/>
    <w:rsid w:val="00600F40"/>
    <w:rsid w:val="006022CB"/>
    <w:rsid w:val="00614B99"/>
    <w:rsid w:val="006339EC"/>
    <w:rsid w:val="00656012"/>
    <w:rsid w:val="00667DE1"/>
    <w:rsid w:val="006758A1"/>
    <w:rsid w:val="006A6664"/>
    <w:rsid w:val="006D52FB"/>
    <w:rsid w:val="006F42DA"/>
    <w:rsid w:val="00705E24"/>
    <w:rsid w:val="00724140"/>
    <w:rsid w:val="00760D76"/>
    <w:rsid w:val="007709AA"/>
    <w:rsid w:val="00783E33"/>
    <w:rsid w:val="00786D08"/>
    <w:rsid w:val="007969A8"/>
    <w:rsid w:val="007C0C84"/>
    <w:rsid w:val="007D1E77"/>
    <w:rsid w:val="007E271E"/>
    <w:rsid w:val="007F46D6"/>
    <w:rsid w:val="007F6D0E"/>
    <w:rsid w:val="007F747A"/>
    <w:rsid w:val="0080682F"/>
    <w:rsid w:val="00810DBC"/>
    <w:rsid w:val="00813690"/>
    <w:rsid w:val="00816DB5"/>
    <w:rsid w:val="008264D0"/>
    <w:rsid w:val="00847809"/>
    <w:rsid w:val="008523D9"/>
    <w:rsid w:val="0086618A"/>
    <w:rsid w:val="00882626"/>
    <w:rsid w:val="00882E38"/>
    <w:rsid w:val="008850BB"/>
    <w:rsid w:val="008A6A81"/>
    <w:rsid w:val="008B38CF"/>
    <w:rsid w:val="008B54BA"/>
    <w:rsid w:val="008B6A01"/>
    <w:rsid w:val="008C124A"/>
    <w:rsid w:val="008D2C13"/>
    <w:rsid w:val="008D76F9"/>
    <w:rsid w:val="008E3A55"/>
    <w:rsid w:val="008F0B33"/>
    <w:rsid w:val="00934C50"/>
    <w:rsid w:val="00935392"/>
    <w:rsid w:val="00956F6B"/>
    <w:rsid w:val="009579D2"/>
    <w:rsid w:val="009B2B64"/>
    <w:rsid w:val="009C7D4F"/>
    <w:rsid w:val="009D0FD5"/>
    <w:rsid w:val="009D27A7"/>
    <w:rsid w:val="009E2229"/>
    <w:rsid w:val="00A06880"/>
    <w:rsid w:val="00A25AE0"/>
    <w:rsid w:val="00A353C4"/>
    <w:rsid w:val="00A54FD9"/>
    <w:rsid w:val="00A769F2"/>
    <w:rsid w:val="00A87F8D"/>
    <w:rsid w:val="00AA06F4"/>
    <w:rsid w:val="00AA5399"/>
    <w:rsid w:val="00AD2B8B"/>
    <w:rsid w:val="00AD6A01"/>
    <w:rsid w:val="00AE037D"/>
    <w:rsid w:val="00AE263D"/>
    <w:rsid w:val="00AE5391"/>
    <w:rsid w:val="00B128E5"/>
    <w:rsid w:val="00B30809"/>
    <w:rsid w:val="00B32BF7"/>
    <w:rsid w:val="00B56B10"/>
    <w:rsid w:val="00B75F9F"/>
    <w:rsid w:val="00B816F9"/>
    <w:rsid w:val="00B8725A"/>
    <w:rsid w:val="00B95EA8"/>
    <w:rsid w:val="00B9748A"/>
    <w:rsid w:val="00BC5C6B"/>
    <w:rsid w:val="00BE5C03"/>
    <w:rsid w:val="00BF4B22"/>
    <w:rsid w:val="00C36477"/>
    <w:rsid w:val="00C435E4"/>
    <w:rsid w:val="00C44300"/>
    <w:rsid w:val="00C55E20"/>
    <w:rsid w:val="00C6450E"/>
    <w:rsid w:val="00C72B1D"/>
    <w:rsid w:val="00C751C9"/>
    <w:rsid w:val="00C77042"/>
    <w:rsid w:val="00C80FC5"/>
    <w:rsid w:val="00CA399E"/>
    <w:rsid w:val="00CB1112"/>
    <w:rsid w:val="00CC4B00"/>
    <w:rsid w:val="00CF6F10"/>
    <w:rsid w:val="00D04A74"/>
    <w:rsid w:val="00D05234"/>
    <w:rsid w:val="00D073A5"/>
    <w:rsid w:val="00D20503"/>
    <w:rsid w:val="00D20AFF"/>
    <w:rsid w:val="00D435AF"/>
    <w:rsid w:val="00D67EEB"/>
    <w:rsid w:val="00D9111C"/>
    <w:rsid w:val="00DF355A"/>
    <w:rsid w:val="00E00771"/>
    <w:rsid w:val="00E07873"/>
    <w:rsid w:val="00E34E25"/>
    <w:rsid w:val="00E3506D"/>
    <w:rsid w:val="00E4414B"/>
    <w:rsid w:val="00E445E5"/>
    <w:rsid w:val="00E5054E"/>
    <w:rsid w:val="00E62A7E"/>
    <w:rsid w:val="00E709E6"/>
    <w:rsid w:val="00E86875"/>
    <w:rsid w:val="00EA4287"/>
    <w:rsid w:val="00EB08E1"/>
    <w:rsid w:val="00EC298B"/>
    <w:rsid w:val="00ED456B"/>
    <w:rsid w:val="00EE4408"/>
    <w:rsid w:val="00EE53F0"/>
    <w:rsid w:val="00EF5036"/>
    <w:rsid w:val="00F05344"/>
    <w:rsid w:val="00F10509"/>
    <w:rsid w:val="00F12EE4"/>
    <w:rsid w:val="00F26EA3"/>
    <w:rsid w:val="00F315BB"/>
    <w:rsid w:val="00F6696E"/>
    <w:rsid w:val="00F71DD3"/>
    <w:rsid w:val="00FB089E"/>
    <w:rsid w:val="00FC23A6"/>
    <w:rsid w:val="00FC32E5"/>
    <w:rsid w:val="00FD3F0B"/>
    <w:rsid w:val="00FE06FF"/>
    <w:rsid w:val="00FE5089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124C"/>
  <w15:chartTrackingRefBased/>
  <w15:docId w15:val="{406E8980-9047-4149-956A-FC3ECBB6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7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rsid w:val="00135746"/>
    <w:rPr>
      <w:rFonts w:asciiTheme="minorHAnsi" w:hAnsiTheme="minorHAnsi"/>
      <w:bdr w:val="none" w:sz="0" w:space="0" w:color="auto"/>
      <w:shd w:val="clear" w:color="auto" w:fill="FFFF00"/>
    </w:rPr>
  </w:style>
  <w:style w:type="character" w:customStyle="1" w:styleId="Nadpis1Char">
    <w:name w:val="Nadpis 1 Char"/>
    <w:basedOn w:val="Standardnpsmoodstavce"/>
    <w:link w:val="Nadpis1"/>
    <w:uiPriority w:val="9"/>
    <w:rsid w:val="00527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52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26057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6057F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uiPriority w:val="99"/>
    <w:unhideWhenUsed/>
    <w:rsid w:val="002605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82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B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BF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4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5E5"/>
  </w:style>
  <w:style w:type="paragraph" w:styleId="Zpat">
    <w:name w:val="footer"/>
    <w:basedOn w:val="Normln"/>
    <w:link w:val="ZpatChar"/>
    <w:uiPriority w:val="99"/>
    <w:unhideWhenUsed/>
    <w:rsid w:val="00E4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5E5"/>
  </w:style>
  <w:style w:type="character" w:styleId="Hypertextovodkaz">
    <w:name w:val="Hyperlink"/>
    <w:basedOn w:val="Standardnpsmoodstavce"/>
    <w:uiPriority w:val="99"/>
    <w:unhideWhenUsed/>
    <w:rsid w:val="00E445E5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E445E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F61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3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ilsakova@ewingpr.cz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TRIKAYA\Projekty%20v%20Brn&#283;\2017_03\podklady%20ke%20graf&#367;m%20v%20textu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>
                <a:solidFill>
                  <a:schemeClr val="bg1">
                    <a:lumMod val="50000"/>
                  </a:schemeClr>
                </a:solidFill>
              </a:rPr>
              <a:t>PRODEJE NOVÝCH BYTŮ V BRNĚ</a:t>
            </a:r>
            <a:endParaRPr lang="en-US">
              <a:solidFill>
                <a:schemeClr val="bg1">
                  <a:lumMod val="50000"/>
                </a:schemeClr>
              </a:solidFill>
            </a:endParaRPr>
          </a:p>
        </c:rich>
      </c:tx>
      <c:layout>
        <c:manualLayout>
          <c:xMode val="edge"/>
          <c:yMode val="edge"/>
          <c:x val="0.34553644313774085"/>
          <c:y val="3.01886792452830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474223215466769E-2"/>
          <c:y val="0.24336513443191674"/>
          <c:w val="0.91262348837695018"/>
          <c:h val="0.58789646090422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B1510F"/>
            </a:solidFill>
            <a:ln>
              <a:noFill/>
            </a:ln>
            <a:effectLst/>
          </c:spPr>
          <c:invertIfNegative val="0"/>
          <c:dLbls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298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CD6-4C18-B722-0AC8A728C0A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List1!$S$3:$S$21</c:f>
              <c:strCache>
                <c:ptCount val="19"/>
                <c:pt idx="0">
                  <c:v>Q1 2014</c:v>
                </c:pt>
                <c:pt idx="1">
                  <c:v>Q2 2014</c:v>
                </c:pt>
                <c:pt idx="2">
                  <c:v>Q3 2014</c:v>
                </c:pt>
                <c:pt idx="3">
                  <c:v>Q4 2014</c:v>
                </c:pt>
                <c:pt idx="4">
                  <c:v>Q1 2015</c:v>
                </c:pt>
                <c:pt idx="5">
                  <c:v>Q2 2015</c:v>
                </c:pt>
                <c:pt idx="6">
                  <c:v>Q3 2015</c:v>
                </c:pt>
                <c:pt idx="7">
                  <c:v>Q4 2015</c:v>
                </c:pt>
                <c:pt idx="8">
                  <c:v>Q1 2016</c:v>
                </c:pt>
                <c:pt idx="9">
                  <c:v>Q2 2016</c:v>
                </c:pt>
                <c:pt idx="10">
                  <c:v>Q3 2016</c:v>
                </c:pt>
                <c:pt idx="11">
                  <c:v>Q4 2016</c:v>
                </c:pt>
                <c:pt idx="12">
                  <c:v>Q1 2017</c:v>
                </c:pt>
                <c:pt idx="13">
                  <c:v>Q2 2017</c:v>
                </c:pt>
                <c:pt idx="14">
                  <c:v>Q3 2017</c:v>
                </c:pt>
                <c:pt idx="15">
                  <c:v>Q4 2017</c:v>
                </c:pt>
                <c:pt idx="16">
                  <c:v>Q1 2018</c:v>
                </c:pt>
                <c:pt idx="17">
                  <c:v>Q2 2018</c:v>
                </c:pt>
                <c:pt idx="18">
                  <c:v>Q3 2018</c:v>
                </c:pt>
              </c:strCache>
            </c:strRef>
          </c:cat>
          <c:val>
            <c:numRef>
              <c:f>List1!$T$3:$T$21</c:f>
              <c:numCache>
                <c:formatCode>General</c:formatCode>
                <c:ptCount val="19"/>
                <c:pt idx="0">
                  <c:v>181</c:v>
                </c:pt>
                <c:pt idx="1">
                  <c:v>255</c:v>
                </c:pt>
                <c:pt idx="2">
                  <c:v>167</c:v>
                </c:pt>
                <c:pt idx="3">
                  <c:v>221</c:v>
                </c:pt>
                <c:pt idx="4">
                  <c:v>272</c:v>
                </c:pt>
                <c:pt idx="5">
                  <c:v>272</c:v>
                </c:pt>
                <c:pt idx="6">
                  <c:v>172</c:v>
                </c:pt>
                <c:pt idx="7">
                  <c:v>238</c:v>
                </c:pt>
                <c:pt idx="8">
                  <c:v>378</c:v>
                </c:pt>
                <c:pt idx="9">
                  <c:v>559</c:v>
                </c:pt>
                <c:pt idx="10">
                  <c:v>258</c:v>
                </c:pt>
                <c:pt idx="11">
                  <c:v>312</c:v>
                </c:pt>
                <c:pt idx="12">
                  <c:v>224</c:v>
                </c:pt>
                <c:pt idx="13">
                  <c:v>298</c:v>
                </c:pt>
                <c:pt idx="14">
                  <c:v>239</c:v>
                </c:pt>
                <c:pt idx="15">
                  <c:v>163</c:v>
                </c:pt>
                <c:pt idx="16">
                  <c:v>88</c:v>
                </c:pt>
                <c:pt idx="17">
                  <c:v>141</c:v>
                </c:pt>
                <c:pt idx="18">
                  <c:v>223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D6-4C18-B722-0AC8A728C0A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4889168"/>
        <c:axId val="254887600"/>
      </c:barChart>
      <c:catAx>
        <c:axId val="25488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4887600"/>
        <c:crosses val="autoZero"/>
        <c:auto val="1"/>
        <c:lblAlgn val="ctr"/>
        <c:lblOffset val="100"/>
        <c:noMultiLvlLbl val="0"/>
      </c:catAx>
      <c:valAx>
        <c:axId val="254887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48891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2779-886C-442D-A6D9-6B447993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fsudrich</dc:creator>
  <cp:keywords/>
  <dc:description/>
  <cp:lastModifiedBy>Petra Filsaková</cp:lastModifiedBy>
  <cp:revision>3</cp:revision>
  <dcterms:created xsi:type="dcterms:W3CDTF">2018-10-28T16:07:00Z</dcterms:created>
  <dcterms:modified xsi:type="dcterms:W3CDTF">2018-10-29T09:14:00Z</dcterms:modified>
</cp:coreProperties>
</file>