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32EA" w14:textId="28EEBF55" w:rsidR="00A76F2E" w:rsidRPr="000D0156" w:rsidRDefault="001D0F7B" w:rsidP="001D0F7B">
      <w:pPr>
        <w:jc w:val="right"/>
        <w:rPr>
          <w:sz w:val="16"/>
        </w:rPr>
      </w:pPr>
      <w:r w:rsidRPr="000D0156">
        <w:rPr>
          <w:sz w:val="16"/>
        </w:rPr>
        <w:t xml:space="preserve">DATUM: </w:t>
      </w:r>
      <w:r w:rsidR="00A67775">
        <w:rPr>
          <w:sz w:val="16"/>
        </w:rPr>
        <w:t>2</w:t>
      </w:r>
      <w:r w:rsidR="00530391">
        <w:rPr>
          <w:sz w:val="16"/>
        </w:rPr>
        <w:t>2</w:t>
      </w:r>
      <w:r w:rsidRPr="000D0156">
        <w:rPr>
          <w:sz w:val="16"/>
        </w:rPr>
        <w:t xml:space="preserve">. </w:t>
      </w:r>
      <w:r w:rsidR="00A67775">
        <w:rPr>
          <w:sz w:val="16"/>
        </w:rPr>
        <w:t>ledna 2020</w:t>
      </w:r>
    </w:p>
    <w:p w14:paraId="48E3FCCB" w14:textId="77777777" w:rsidR="00317634" w:rsidRDefault="00317634" w:rsidP="00317634">
      <w:pPr>
        <w:jc w:val="center"/>
        <w:rPr>
          <w:b/>
          <w:sz w:val="30"/>
        </w:rPr>
      </w:pPr>
    </w:p>
    <w:p w14:paraId="686544E0" w14:textId="377AE5CE" w:rsidR="00B01849" w:rsidRPr="00530391" w:rsidRDefault="0035620D" w:rsidP="00B01849">
      <w:pPr>
        <w:jc w:val="center"/>
        <w:rPr>
          <w:b/>
          <w:sz w:val="34"/>
        </w:rPr>
      </w:pPr>
      <w:r w:rsidRPr="00530391">
        <w:rPr>
          <w:b/>
          <w:sz w:val="34"/>
        </w:rPr>
        <w:t>V</w:t>
      </w:r>
      <w:r w:rsidR="00B01849" w:rsidRPr="00530391">
        <w:rPr>
          <w:b/>
          <w:sz w:val="34"/>
        </w:rPr>
        <w:t> Brně jsou nejprodávanější</w:t>
      </w:r>
      <w:r w:rsidRPr="00530391">
        <w:rPr>
          <w:b/>
          <w:sz w:val="34"/>
        </w:rPr>
        <w:t xml:space="preserve"> garsonky. </w:t>
      </w:r>
      <w:r w:rsidR="00B01849" w:rsidRPr="00530391">
        <w:rPr>
          <w:b/>
          <w:sz w:val="34"/>
        </w:rPr>
        <w:t xml:space="preserve">Na </w:t>
      </w:r>
      <w:r w:rsidRPr="00530391">
        <w:rPr>
          <w:b/>
          <w:sz w:val="34"/>
        </w:rPr>
        <w:t>velké</w:t>
      </w:r>
      <w:r w:rsidR="00B01849" w:rsidRPr="00530391">
        <w:rPr>
          <w:b/>
          <w:sz w:val="34"/>
        </w:rPr>
        <w:t xml:space="preserve"> </w:t>
      </w:r>
      <w:r w:rsidR="00E1689B" w:rsidRPr="00530391">
        <w:rPr>
          <w:b/>
          <w:sz w:val="34"/>
        </w:rPr>
        <w:t xml:space="preserve">byty </w:t>
      </w:r>
      <w:r w:rsidR="00B01849" w:rsidRPr="00530391">
        <w:rPr>
          <w:b/>
          <w:sz w:val="34"/>
        </w:rPr>
        <w:t xml:space="preserve">už lidé s průměrnými příjmy </w:t>
      </w:r>
      <w:r w:rsidR="00E1689B" w:rsidRPr="00530391">
        <w:rPr>
          <w:b/>
          <w:sz w:val="34"/>
        </w:rPr>
        <w:t xml:space="preserve">téměř </w:t>
      </w:r>
      <w:r w:rsidR="00B01849" w:rsidRPr="00530391">
        <w:rPr>
          <w:b/>
          <w:sz w:val="34"/>
        </w:rPr>
        <w:t>nedosáhnou</w:t>
      </w:r>
    </w:p>
    <w:p w14:paraId="4E3F6682" w14:textId="77777777" w:rsidR="006668F2" w:rsidRDefault="006668F2" w:rsidP="006668F2">
      <w:pPr>
        <w:jc w:val="center"/>
        <w:rPr>
          <w:sz w:val="18"/>
        </w:rPr>
      </w:pPr>
    </w:p>
    <w:p w14:paraId="3F29A6C8" w14:textId="7A6D6FBA" w:rsidR="008537D0" w:rsidRDefault="007741CE" w:rsidP="008537D0">
      <w:pPr>
        <w:jc w:val="both"/>
        <w:rPr>
          <w:b/>
        </w:rPr>
      </w:pPr>
      <w:r>
        <w:rPr>
          <w:b/>
        </w:rPr>
        <w:t>V </w:t>
      </w:r>
      <w:r w:rsidR="001B7A11">
        <w:rPr>
          <w:b/>
        </w:rPr>
        <w:t>roce</w:t>
      </w:r>
      <w:r>
        <w:rPr>
          <w:b/>
        </w:rPr>
        <w:t xml:space="preserve"> 2019 se v jihomoravské metropoli</w:t>
      </w:r>
      <w:r w:rsidR="001B7A11">
        <w:rPr>
          <w:b/>
        </w:rPr>
        <w:t xml:space="preserve"> prodalo</w:t>
      </w:r>
      <w:r w:rsidR="00B01849">
        <w:rPr>
          <w:b/>
        </w:rPr>
        <w:t xml:space="preserve"> celkem</w:t>
      </w:r>
      <w:r w:rsidR="001B7A11">
        <w:rPr>
          <w:b/>
        </w:rPr>
        <w:t xml:space="preserve"> </w:t>
      </w:r>
      <w:r w:rsidR="00B01849">
        <w:rPr>
          <w:b/>
        </w:rPr>
        <w:t>815 bytů v hodnotě přes 3,2 miliardy korun. Téměř 40 % prodejů tvořily jednopokojové byty o průměrné velikosti 35 metrů čtverečních. V nabídce nyní zůstává necelých 500 bytů</w:t>
      </w:r>
      <w:r w:rsidR="00FA4A0C">
        <w:rPr>
          <w:b/>
        </w:rPr>
        <w:t>,</w:t>
      </w:r>
      <w:r w:rsidR="00530391">
        <w:rPr>
          <w:b/>
        </w:rPr>
        <w:t xml:space="preserve"> jejichž průměrná cena za metr je 82 500 korun. N</w:t>
      </w:r>
      <w:r w:rsidR="00FA4A0C">
        <w:rPr>
          <w:b/>
        </w:rPr>
        <w:t xml:space="preserve">ejvíce </w:t>
      </w:r>
      <w:r w:rsidR="00530391">
        <w:rPr>
          <w:b/>
        </w:rPr>
        <w:t>volných bytů je</w:t>
      </w:r>
      <w:r w:rsidR="00FA4A0C">
        <w:rPr>
          <w:b/>
        </w:rPr>
        <w:t xml:space="preserve"> </w:t>
      </w:r>
      <w:r w:rsidR="00FC065C">
        <w:rPr>
          <w:b/>
        </w:rPr>
        <w:t>v dispozici</w:t>
      </w:r>
      <w:r w:rsidR="00530391">
        <w:rPr>
          <w:b/>
        </w:rPr>
        <w:t xml:space="preserve"> 2+kk</w:t>
      </w:r>
      <w:r w:rsidR="00FA4A0C">
        <w:rPr>
          <w:b/>
        </w:rPr>
        <w:t xml:space="preserve">. Jak vychází z analýzy společnosti </w:t>
      </w:r>
      <w:proofErr w:type="spellStart"/>
      <w:r w:rsidR="00FA4A0C">
        <w:rPr>
          <w:b/>
        </w:rPr>
        <w:t>Trikaya</w:t>
      </w:r>
      <w:proofErr w:type="spellEnd"/>
      <w:r w:rsidR="00FA4A0C">
        <w:rPr>
          <w:b/>
        </w:rPr>
        <w:t>, Brno se stále nachází v deficitu zh</w:t>
      </w:r>
      <w:r w:rsidR="00CC2511">
        <w:rPr>
          <w:b/>
        </w:rPr>
        <w:t>r</w:t>
      </w:r>
      <w:r w:rsidR="00FA4A0C">
        <w:rPr>
          <w:b/>
        </w:rPr>
        <w:t xml:space="preserve">uba 2500 bytů. Aby si </w:t>
      </w:r>
      <w:r w:rsidR="00CC2511">
        <w:rPr>
          <w:b/>
        </w:rPr>
        <w:t xml:space="preserve">tedy </w:t>
      </w:r>
      <w:r w:rsidR="00FA4A0C">
        <w:rPr>
          <w:b/>
        </w:rPr>
        <w:t xml:space="preserve">město trvale udrželo ideální hodnotu tisíce bytů ročně, mělo by se v každém čtvrtletí postavit 250 nových bytů. </w:t>
      </w:r>
      <w:r w:rsidR="00CC2511">
        <w:rPr>
          <w:b/>
        </w:rPr>
        <w:t xml:space="preserve">V cestě už </w:t>
      </w:r>
      <w:r w:rsidR="00352D6E">
        <w:rPr>
          <w:b/>
        </w:rPr>
        <w:t xml:space="preserve">ovšem </w:t>
      </w:r>
      <w:r w:rsidR="00CC2511">
        <w:rPr>
          <w:b/>
        </w:rPr>
        <w:t>nestojí pouze dlouhé schvalovací procesy, ale také nedostatek pracovních sil ve stavebnictví.</w:t>
      </w:r>
    </w:p>
    <w:p w14:paraId="14357F19" w14:textId="77777777" w:rsidR="009C3B4B" w:rsidRPr="00A67775" w:rsidRDefault="009C3B4B" w:rsidP="009C3B4B">
      <w:pPr>
        <w:jc w:val="both"/>
        <w:rPr>
          <w:szCs w:val="20"/>
        </w:rPr>
      </w:pPr>
    </w:p>
    <w:p w14:paraId="1C663693" w14:textId="43FCFEB2" w:rsidR="00A67775" w:rsidRDefault="00A67775" w:rsidP="00A67775">
      <w:pPr>
        <w:jc w:val="both"/>
      </w:pPr>
      <w:r w:rsidRPr="00A67775">
        <w:rPr>
          <w:szCs w:val="20"/>
        </w:rPr>
        <w:t xml:space="preserve">V uplynulém roce došlo na brněnském </w:t>
      </w:r>
      <w:r w:rsidR="00CC2511">
        <w:rPr>
          <w:szCs w:val="20"/>
        </w:rPr>
        <w:t xml:space="preserve">realitním </w:t>
      </w:r>
      <w:r w:rsidRPr="00A67775">
        <w:rPr>
          <w:szCs w:val="20"/>
        </w:rPr>
        <w:t>trhu hned k několika zajímavým jevům. Nejprodávanější</w:t>
      </w:r>
      <w:r>
        <w:t xml:space="preserve"> dispozicí se poprvé staly jednopokojové byty, které tak sesadily z dlouhodobého vedení byty dvoupokojové. Paradox však je, že v přepočtu na metr čtvereční se jedná o byty nejdražší, kupci za ně byli ochotní zaplatit v průměru 2,7 milionu korun. </w:t>
      </w:r>
      <w:r w:rsidRPr="008B5BCF">
        <w:rPr>
          <w:i/>
        </w:rPr>
        <w:t>„</w:t>
      </w:r>
      <w:r w:rsidR="00CC2511">
        <w:rPr>
          <w:i/>
        </w:rPr>
        <w:t>Prodeje loňského roku nám ukazují, že n</w:t>
      </w:r>
      <w:r>
        <w:rPr>
          <w:i/>
        </w:rPr>
        <w:t xml:space="preserve">a velké byty už lidé s průměrnými příjmy kvůli rostoucím cenám a regulaci hypoték </w:t>
      </w:r>
      <w:r w:rsidR="00CC2511">
        <w:rPr>
          <w:i/>
        </w:rPr>
        <w:t xml:space="preserve">téměř </w:t>
      </w:r>
      <w:r>
        <w:rPr>
          <w:i/>
        </w:rPr>
        <w:t>nedosáhnou</w:t>
      </w:r>
      <w:r w:rsidRPr="008B5BCF">
        <w:rPr>
          <w:i/>
        </w:rPr>
        <w:t xml:space="preserve">. </w:t>
      </w:r>
      <w:r w:rsidR="00A9517C">
        <w:rPr>
          <w:i/>
        </w:rPr>
        <w:t>Lidé se tedy uskromňují</w:t>
      </w:r>
      <w:r w:rsidR="00CC2511">
        <w:rPr>
          <w:i/>
        </w:rPr>
        <w:t xml:space="preserve"> a</w:t>
      </w:r>
      <w:r w:rsidRPr="008B5BCF">
        <w:rPr>
          <w:i/>
        </w:rPr>
        <w:t xml:space="preserve"> </w:t>
      </w:r>
      <w:r w:rsidR="00A9517C">
        <w:rPr>
          <w:i/>
        </w:rPr>
        <w:t>pořizují</w:t>
      </w:r>
      <w:r w:rsidRPr="008B5BCF">
        <w:rPr>
          <w:i/>
        </w:rPr>
        <w:t xml:space="preserve"> spíše </w:t>
      </w:r>
      <w:r w:rsidR="00A9517C">
        <w:rPr>
          <w:i/>
        </w:rPr>
        <w:t>nové</w:t>
      </w:r>
      <w:r w:rsidR="0035620D" w:rsidRPr="008B5BCF">
        <w:rPr>
          <w:i/>
        </w:rPr>
        <w:t>, ale</w:t>
      </w:r>
      <w:r w:rsidR="00A9517C">
        <w:rPr>
          <w:i/>
        </w:rPr>
        <w:t xml:space="preserve"> malé byty nebo byty</w:t>
      </w:r>
      <w:r w:rsidRPr="008B5BCF">
        <w:rPr>
          <w:i/>
        </w:rPr>
        <w:t xml:space="preserve"> </w:t>
      </w:r>
      <w:r w:rsidR="00FC065C">
        <w:rPr>
          <w:i/>
        </w:rPr>
        <w:t>starší, i tam</w:t>
      </w:r>
      <w:r w:rsidR="00AB5412">
        <w:rPr>
          <w:i/>
        </w:rPr>
        <w:t xml:space="preserve"> ale ceny rostou</w:t>
      </w:r>
      <w:r w:rsidR="0035620D">
        <w:rPr>
          <w:i/>
        </w:rPr>
        <w:t xml:space="preserve">. </w:t>
      </w:r>
      <w:r w:rsidR="00CC2511">
        <w:rPr>
          <w:i/>
        </w:rPr>
        <w:t xml:space="preserve">K takovým se </w:t>
      </w:r>
      <w:r w:rsidR="00AB5412">
        <w:rPr>
          <w:i/>
        </w:rPr>
        <w:t xml:space="preserve">navíc </w:t>
      </w:r>
      <w:r w:rsidR="00CC2511">
        <w:rPr>
          <w:i/>
        </w:rPr>
        <w:t>váž</w:t>
      </w:r>
      <w:r w:rsidR="000F4EF4">
        <w:rPr>
          <w:i/>
        </w:rPr>
        <w:t>ou</w:t>
      </w:r>
      <w:r w:rsidR="00CC2511">
        <w:rPr>
          <w:i/>
        </w:rPr>
        <w:t xml:space="preserve"> ještě procenta realitní</w:t>
      </w:r>
      <w:r w:rsidR="006007F3">
        <w:rPr>
          <w:i/>
        </w:rPr>
        <w:t>m kancelářím</w:t>
      </w:r>
      <w:r w:rsidR="00CC2511">
        <w:rPr>
          <w:i/>
        </w:rPr>
        <w:t xml:space="preserve">, </w:t>
      </w:r>
      <w:r w:rsidR="006007F3">
        <w:rPr>
          <w:i/>
        </w:rPr>
        <w:t>daně</w:t>
      </w:r>
      <w:r w:rsidR="00CC2511">
        <w:rPr>
          <w:i/>
        </w:rPr>
        <w:t xml:space="preserve"> z nabytí </w:t>
      </w:r>
      <w:r w:rsidR="006007F3">
        <w:rPr>
          <w:i/>
        </w:rPr>
        <w:t xml:space="preserve">nemovitosti a </w:t>
      </w:r>
      <w:r w:rsidR="006007F3" w:rsidRPr="006007F3">
        <w:rPr>
          <w:i/>
        </w:rPr>
        <w:t>vícenáklady,</w:t>
      </w:r>
      <w:r w:rsidR="006007F3">
        <w:rPr>
          <w:i/>
        </w:rPr>
        <w:t xml:space="preserve"> takže často oproti novostavbě vůbec nemus</w:t>
      </w:r>
      <w:r w:rsidR="000F4EF4">
        <w:rPr>
          <w:i/>
        </w:rPr>
        <w:t>ej</w:t>
      </w:r>
      <w:r w:rsidR="006007F3">
        <w:rPr>
          <w:i/>
        </w:rPr>
        <w:t>í být levnější variantou,</w:t>
      </w:r>
      <w:r w:rsidR="006007F3" w:rsidRPr="006007F3">
        <w:rPr>
          <w:i/>
        </w:rPr>
        <w:t>“</w:t>
      </w:r>
      <w:r w:rsidR="006007F3">
        <w:rPr>
          <w:i/>
        </w:rPr>
        <w:t xml:space="preserve"> </w:t>
      </w:r>
      <w:r w:rsidR="006007F3">
        <w:t>popisuje</w:t>
      </w:r>
      <w:r>
        <w:t xml:space="preserve"> </w:t>
      </w:r>
      <w:r w:rsidR="006007F3" w:rsidRPr="006007F3">
        <w:t>Alexej</w:t>
      </w:r>
      <w:r w:rsidR="006007F3">
        <w:t xml:space="preserve"> Veselý, výkonný ředitel společnosti </w:t>
      </w:r>
      <w:proofErr w:type="spellStart"/>
      <w:r w:rsidR="006007F3">
        <w:t>Trikaya</w:t>
      </w:r>
      <w:proofErr w:type="spellEnd"/>
      <w:r>
        <w:t xml:space="preserve">. </w:t>
      </w:r>
    </w:p>
    <w:p w14:paraId="6EBA9ED3" w14:textId="6170F119" w:rsidR="00A67775" w:rsidRPr="00AC6E80" w:rsidRDefault="006007F3" w:rsidP="00A67775">
      <w:pPr>
        <w:jc w:val="both"/>
        <w:rPr>
          <w:i/>
        </w:rPr>
      </w:pPr>
      <w:r w:rsidRPr="008B4DC9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EC6F5C" wp14:editId="59F6E8D1">
            <wp:simplePos x="0" y="0"/>
            <wp:positionH relativeFrom="margin">
              <wp:posOffset>728345</wp:posOffset>
            </wp:positionH>
            <wp:positionV relativeFrom="paragraph">
              <wp:posOffset>32385</wp:posOffset>
            </wp:positionV>
            <wp:extent cx="4086225" cy="2762885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11CAE" w14:textId="5674FF3F" w:rsidR="00A67775" w:rsidRDefault="00A67775" w:rsidP="009C3B4B">
      <w:pPr>
        <w:jc w:val="both"/>
        <w:rPr>
          <w:sz w:val="20"/>
          <w:szCs w:val="20"/>
        </w:rPr>
      </w:pPr>
    </w:p>
    <w:p w14:paraId="3169900E" w14:textId="77777777" w:rsidR="00A67775" w:rsidRDefault="00A67775" w:rsidP="009C3B4B">
      <w:pPr>
        <w:jc w:val="both"/>
        <w:rPr>
          <w:sz w:val="20"/>
          <w:szCs w:val="20"/>
        </w:rPr>
      </w:pPr>
    </w:p>
    <w:p w14:paraId="39C83823" w14:textId="77777777" w:rsidR="00A67775" w:rsidRDefault="00A67775" w:rsidP="009C3B4B">
      <w:pPr>
        <w:jc w:val="both"/>
        <w:rPr>
          <w:sz w:val="20"/>
          <w:szCs w:val="20"/>
        </w:rPr>
      </w:pPr>
    </w:p>
    <w:p w14:paraId="511E6264" w14:textId="77777777" w:rsidR="00A67775" w:rsidRDefault="00A67775" w:rsidP="009C3B4B">
      <w:pPr>
        <w:jc w:val="both"/>
        <w:rPr>
          <w:sz w:val="20"/>
          <w:szCs w:val="20"/>
        </w:rPr>
      </w:pPr>
    </w:p>
    <w:p w14:paraId="15B181B4" w14:textId="77777777" w:rsidR="00A67775" w:rsidRDefault="00A67775" w:rsidP="009C3B4B">
      <w:pPr>
        <w:jc w:val="both"/>
        <w:rPr>
          <w:sz w:val="20"/>
          <w:szCs w:val="20"/>
        </w:rPr>
      </w:pPr>
    </w:p>
    <w:p w14:paraId="55C99508" w14:textId="77777777" w:rsidR="00A67775" w:rsidRDefault="00A67775" w:rsidP="009C3B4B">
      <w:pPr>
        <w:jc w:val="both"/>
        <w:rPr>
          <w:sz w:val="20"/>
          <w:szCs w:val="20"/>
        </w:rPr>
      </w:pPr>
    </w:p>
    <w:p w14:paraId="3167280D" w14:textId="77777777" w:rsidR="00A67775" w:rsidRDefault="00A67775" w:rsidP="009C3B4B">
      <w:pPr>
        <w:jc w:val="both"/>
        <w:rPr>
          <w:sz w:val="20"/>
          <w:szCs w:val="20"/>
        </w:rPr>
      </w:pPr>
    </w:p>
    <w:p w14:paraId="5D7853E3" w14:textId="77777777" w:rsidR="00A67775" w:rsidRDefault="00A67775" w:rsidP="009C3B4B">
      <w:pPr>
        <w:jc w:val="both"/>
        <w:rPr>
          <w:sz w:val="20"/>
          <w:szCs w:val="20"/>
        </w:rPr>
      </w:pPr>
    </w:p>
    <w:p w14:paraId="6C370B25" w14:textId="77777777" w:rsidR="00A67775" w:rsidRDefault="00A67775" w:rsidP="009C3B4B">
      <w:pPr>
        <w:jc w:val="both"/>
        <w:rPr>
          <w:sz w:val="20"/>
          <w:szCs w:val="20"/>
        </w:rPr>
      </w:pPr>
    </w:p>
    <w:p w14:paraId="16B388EC" w14:textId="77777777" w:rsidR="00A67775" w:rsidRDefault="00A67775" w:rsidP="009C3B4B">
      <w:pPr>
        <w:jc w:val="both"/>
        <w:rPr>
          <w:sz w:val="20"/>
          <w:szCs w:val="20"/>
        </w:rPr>
      </w:pPr>
    </w:p>
    <w:p w14:paraId="00989098" w14:textId="77777777" w:rsidR="00A67775" w:rsidRDefault="00A67775" w:rsidP="009C3B4B">
      <w:pPr>
        <w:jc w:val="both"/>
        <w:rPr>
          <w:sz w:val="20"/>
          <w:szCs w:val="20"/>
        </w:rPr>
      </w:pPr>
    </w:p>
    <w:p w14:paraId="77EFB5F0" w14:textId="77777777" w:rsidR="00A67775" w:rsidRDefault="00A67775" w:rsidP="009C3B4B">
      <w:pPr>
        <w:jc w:val="both"/>
        <w:rPr>
          <w:sz w:val="20"/>
          <w:szCs w:val="20"/>
        </w:rPr>
      </w:pPr>
    </w:p>
    <w:p w14:paraId="4223A429" w14:textId="77777777" w:rsidR="00A67775" w:rsidRDefault="00A67775" w:rsidP="009C3B4B">
      <w:pPr>
        <w:jc w:val="both"/>
        <w:rPr>
          <w:sz w:val="20"/>
          <w:szCs w:val="20"/>
        </w:rPr>
      </w:pPr>
    </w:p>
    <w:p w14:paraId="6C5D9488" w14:textId="77777777" w:rsidR="00A67775" w:rsidRDefault="00A67775" w:rsidP="009C3B4B">
      <w:pPr>
        <w:jc w:val="both"/>
        <w:rPr>
          <w:sz w:val="20"/>
          <w:szCs w:val="20"/>
        </w:rPr>
      </w:pPr>
    </w:p>
    <w:p w14:paraId="5D1804DD" w14:textId="77777777" w:rsidR="00A67775" w:rsidRDefault="00A67775" w:rsidP="009C3B4B">
      <w:pPr>
        <w:jc w:val="both"/>
        <w:rPr>
          <w:sz w:val="20"/>
          <w:szCs w:val="20"/>
        </w:rPr>
      </w:pPr>
    </w:p>
    <w:p w14:paraId="1EC53DE2" w14:textId="77777777" w:rsidR="00A67775" w:rsidRDefault="00A67775" w:rsidP="009C3B4B">
      <w:pPr>
        <w:jc w:val="both"/>
        <w:rPr>
          <w:sz w:val="20"/>
          <w:szCs w:val="20"/>
        </w:rPr>
      </w:pPr>
    </w:p>
    <w:p w14:paraId="6CC9CB2F" w14:textId="5BC3D7AB" w:rsidR="00A67775" w:rsidRDefault="00A67775" w:rsidP="006007F3">
      <w:pPr>
        <w:jc w:val="both"/>
      </w:pPr>
      <w:r>
        <w:t>Průměrná cena za metr všech prodaných bytů se vyšplhala na 74</w:t>
      </w:r>
      <w:r w:rsidR="006007F3">
        <w:t> </w:t>
      </w:r>
      <w:r>
        <w:t>700</w:t>
      </w:r>
      <w:r w:rsidR="006007F3">
        <w:t xml:space="preserve"> korun, což značí meziroční nárůst </w:t>
      </w:r>
      <w:r>
        <w:t xml:space="preserve">o 7,5 </w:t>
      </w:r>
      <w:r w:rsidR="00C84893">
        <w:t>procenta</w:t>
      </w:r>
      <w:r>
        <w:t xml:space="preserve">. Ač je tento růst oproti dřívějším letům výrazně pomalejší, dopomohl k druhému nebývalému faktu, že samotné vlastnictví nemovitosti se začíná vyplácet </w:t>
      </w:r>
      <w:r>
        <w:lastRenderedPageBreak/>
        <w:t xml:space="preserve">více než její pronájem. </w:t>
      </w:r>
      <w:r w:rsidRPr="00F11ADD">
        <w:rPr>
          <w:i/>
        </w:rPr>
        <w:t>„Ten</w:t>
      </w:r>
      <w:r w:rsidR="000F4EF4">
        <w:rPr>
          <w:i/>
        </w:rPr>
        <w:t>,</w:t>
      </w:r>
      <w:r w:rsidRPr="00F11ADD">
        <w:rPr>
          <w:i/>
        </w:rPr>
        <w:t xml:space="preserve"> kdo před zrušením Aktualizace územního plánu v Brně </w:t>
      </w:r>
      <w:r w:rsidRPr="00530391">
        <w:rPr>
          <w:i/>
        </w:rPr>
        <w:t>v roce 2015</w:t>
      </w:r>
      <w:r w:rsidRPr="00F11ADD">
        <w:rPr>
          <w:i/>
        </w:rPr>
        <w:t xml:space="preserve"> koupil průměrný šedesátimetrový byt</w:t>
      </w:r>
      <w:r>
        <w:rPr>
          <w:i/>
        </w:rPr>
        <w:t>,</w:t>
      </w:r>
      <w:r w:rsidRPr="00F11ADD">
        <w:rPr>
          <w:i/>
        </w:rPr>
        <w:t xml:space="preserve"> do dnešního dne vydělal na růstu jeho hodnoty až 1,5 milionu korun. Ač je samozřejmě růst hodnoty nemovitosti relativní a záleží na konkrétním umístění a kvalitě bytu, </w:t>
      </w:r>
      <w:r>
        <w:rPr>
          <w:i/>
        </w:rPr>
        <w:t>generovalo</w:t>
      </w:r>
      <w:r w:rsidRPr="00F11ADD">
        <w:rPr>
          <w:i/>
        </w:rPr>
        <w:t xml:space="preserve"> jeho vlastnictví </w:t>
      </w:r>
      <w:r>
        <w:rPr>
          <w:i/>
        </w:rPr>
        <w:t>větší</w:t>
      </w:r>
      <w:r w:rsidRPr="00F11ADD">
        <w:rPr>
          <w:i/>
        </w:rPr>
        <w:t xml:space="preserve"> </w:t>
      </w:r>
      <w:r>
        <w:rPr>
          <w:i/>
        </w:rPr>
        <w:t xml:space="preserve">zisk </w:t>
      </w:r>
      <w:r w:rsidRPr="00F11ADD">
        <w:rPr>
          <w:i/>
        </w:rPr>
        <w:t>než jeho pronájem,“</w:t>
      </w:r>
      <w:r>
        <w:t xml:space="preserve"> vysvětluje </w:t>
      </w:r>
      <w:r w:rsidR="006007F3">
        <w:t>František Šudřich</w:t>
      </w:r>
      <w:r>
        <w:t xml:space="preserve">, obchodní ředitel společnosti </w:t>
      </w:r>
      <w:proofErr w:type="spellStart"/>
      <w:r>
        <w:t>Trikaya</w:t>
      </w:r>
      <w:proofErr w:type="spellEnd"/>
      <w:r>
        <w:t>.</w:t>
      </w:r>
    </w:p>
    <w:p w14:paraId="1C2F66DB" w14:textId="77777777" w:rsidR="00A67775" w:rsidRPr="00FC065C" w:rsidRDefault="00A67775" w:rsidP="006007F3">
      <w:pPr>
        <w:jc w:val="both"/>
        <w:rPr>
          <w:sz w:val="18"/>
          <w:szCs w:val="20"/>
        </w:rPr>
      </w:pPr>
    </w:p>
    <w:p w14:paraId="6FCEF3B7" w14:textId="363DFB79" w:rsidR="00A67775" w:rsidRPr="007802E6" w:rsidRDefault="00CF255F" w:rsidP="00175421">
      <w:pPr>
        <w:spacing w:after="120"/>
        <w:jc w:val="both"/>
        <w:rPr>
          <w:b/>
        </w:rPr>
      </w:pPr>
      <w:r>
        <w:rPr>
          <w:b/>
        </w:rPr>
        <w:t xml:space="preserve">Ceny nemovitostí nezvedá realitní bublina, ale poptávka, stavební náklady </w:t>
      </w:r>
      <w:r w:rsidR="000F4EF4">
        <w:rPr>
          <w:b/>
        </w:rPr>
        <w:br/>
      </w:r>
      <w:r>
        <w:rPr>
          <w:b/>
        </w:rPr>
        <w:t>a zdlouhavé povolování nových staveb</w:t>
      </w:r>
    </w:p>
    <w:p w14:paraId="7168AE23" w14:textId="38C5FCDE" w:rsidR="00A67775" w:rsidRDefault="00A67775" w:rsidP="006007F3">
      <w:pPr>
        <w:jc w:val="both"/>
      </w:pPr>
      <w:r>
        <w:t xml:space="preserve">Ani přes stále rostoucí ceny zájem o nové byty neuvadá. Jen v posledním čtvrtletí </w:t>
      </w:r>
      <w:r w:rsidR="0007056D">
        <w:t xml:space="preserve">2019 </w:t>
      </w:r>
      <w:r>
        <w:t xml:space="preserve">se prodalo téměř dvě stě bytů v novostavbách a za celý loňský rok celkem 815 bytů. To je sice </w:t>
      </w:r>
      <w:r w:rsidR="00736152">
        <w:br/>
      </w:r>
      <w:r>
        <w:t xml:space="preserve">o 30 </w:t>
      </w:r>
      <w:r w:rsidR="0007056D">
        <w:t>procent</w:t>
      </w:r>
      <w:r>
        <w:t xml:space="preserve"> více než </w:t>
      </w:r>
      <w:r w:rsidR="0007056D">
        <w:t xml:space="preserve">za </w:t>
      </w:r>
      <w:r w:rsidR="00906F4C">
        <w:t xml:space="preserve">rok </w:t>
      </w:r>
      <w:r w:rsidR="0007056D">
        <w:t>2018</w:t>
      </w:r>
      <w:r>
        <w:t xml:space="preserve">, ale také o 15 procent méně než v roce 2017. </w:t>
      </w:r>
      <w:r w:rsidRPr="00BE56F0">
        <w:rPr>
          <w:i/>
        </w:rPr>
        <w:t>„Ukazuje se, že vývoj cen nemovitostí v posledních letech nebyl pouhá realitní bublina, jak někteří předvídali</w:t>
      </w:r>
      <w:r>
        <w:rPr>
          <w:i/>
        </w:rPr>
        <w:t>,</w:t>
      </w:r>
      <w:r w:rsidRPr="00BE56F0">
        <w:rPr>
          <w:i/>
        </w:rPr>
        <w:t xml:space="preserve"> a růst cen není uměle vyvolaný.</w:t>
      </w:r>
      <w:r>
        <w:t xml:space="preserve"> </w:t>
      </w:r>
      <w:r w:rsidRPr="00DD060F">
        <w:rPr>
          <w:i/>
        </w:rPr>
        <w:t>Poptávka po novém bydlení totiž</w:t>
      </w:r>
      <w:r>
        <w:rPr>
          <w:i/>
        </w:rPr>
        <w:t xml:space="preserve"> opravdu</w:t>
      </w:r>
      <w:r w:rsidRPr="00DD060F">
        <w:rPr>
          <w:i/>
        </w:rPr>
        <w:t xml:space="preserve"> roste úměrně s nabídkou, což nám dokázal například rok 2018</w:t>
      </w:r>
      <w:r>
        <w:rPr>
          <w:i/>
        </w:rPr>
        <w:t xml:space="preserve">, kdy rekordně nízké prodeje </w:t>
      </w:r>
      <w:r w:rsidR="0007056D">
        <w:rPr>
          <w:i/>
        </w:rPr>
        <w:t>odpovídaly</w:t>
      </w:r>
      <w:r>
        <w:rPr>
          <w:i/>
        </w:rPr>
        <w:t xml:space="preserve"> kritickému nedostatku</w:t>
      </w:r>
      <w:r w:rsidR="0007056D">
        <w:rPr>
          <w:i/>
        </w:rPr>
        <w:t xml:space="preserve"> dostupných bytů</w:t>
      </w:r>
      <w:r>
        <w:rPr>
          <w:i/>
        </w:rPr>
        <w:t>,“</w:t>
      </w:r>
      <w:r w:rsidRPr="00C54B85">
        <w:t xml:space="preserve"> popisuje </w:t>
      </w:r>
      <w:r w:rsidRPr="0007056D">
        <w:t>František</w:t>
      </w:r>
      <w:r w:rsidR="0007056D">
        <w:t xml:space="preserve"> Šudřich</w:t>
      </w:r>
      <w:r w:rsidRPr="00C54B85">
        <w:t>.</w:t>
      </w:r>
      <w:r>
        <w:t xml:space="preserve"> Prodeje tak v uplynulém roce </w:t>
      </w:r>
      <w:r w:rsidR="0007056D">
        <w:t>nezvyšovali</w:t>
      </w:r>
      <w:r>
        <w:t xml:space="preserve"> pouze investoři, ale také zájemci o bydlení, kteří původně vyčkávali na snížení cen nových bytů. Pokud tedy bude dostatečná nabídka bydlení, očekává se růst poptávky i prodejů </w:t>
      </w:r>
      <w:r w:rsidR="00736152">
        <w:t>také</w:t>
      </w:r>
      <w:r>
        <w:t xml:space="preserve"> v roce 2020. </w:t>
      </w:r>
    </w:p>
    <w:p w14:paraId="6189A58A" w14:textId="251780DF" w:rsidR="00A67775" w:rsidRDefault="004636E0" w:rsidP="009C3B4B">
      <w:pPr>
        <w:jc w:val="both"/>
        <w:rPr>
          <w:sz w:val="20"/>
          <w:szCs w:val="20"/>
        </w:rPr>
      </w:pPr>
      <w:r w:rsidRPr="0004781B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B8EA282" wp14:editId="2746A914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4667250" cy="274891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091FF" w14:textId="7EE7FE66" w:rsidR="00A67775" w:rsidRDefault="00A67775" w:rsidP="009C3B4B">
      <w:pPr>
        <w:jc w:val="both"/>
        <w:rPr>
          <w:sz w:val="20"/>
          <w:szCs w:val="20"/>
        </w:rPr>
      </w:pPr>
    </w:p>
    <w:p w14:paraId="430DCEEF" w14:textId="77777777" w:rsidR="00A67775" w:rsidRDefault="00A67775" w:rsidP="009C3B4B">
      <w:pPr>
        <w:jc w:val="both"/>
        <w:rPr>
          <w:sz w:val="20"/>
          <w:szCs w:val="20"/>
        </w:rPr>
      </w:pPr>
    </w:p>
    <w:p w14:paraId="03C884DD" w14:textId="77777777" w:rsidR="00A67775" w:rsidRDefault="00A67775" w:rsidP="009C3B4B">
      <w:pPr>
        <w:jc w:val="both"/>
        <w:rPr>
          <w:sz w:val="20"/>
          <w:szCs w:val="20"/>
        </w:rPr>
      </w:pPr>
    </w:p>
    <w:p w14:paraId="3E9DC430" w14:textId="77777777" w:rsidR="00A67775" w:rsidRDefault="00A67775" w:rsidP="009C3B4B">
      <w:pPr>
        <w:jc w:val="both"/>
        <w:rPr>
          <w:sz w:val="20"/>
          <w:szCs w:val="20"/>
        </w:rPr>
      </w:pPr>
    </w:p>
    <w:p w14:paraId="457C3E3A" w14:textId="77777777" w:rsidR="00A67775" w:rsidRDefault="00A67775" w:rsidP="009C3B4B">
      <w:pPr>
        <w:jc w:val="both"/>
        <w:rPr>
          <w:sz w:val="20"/>
          <w:szCs w:val="20"/>
        </w:rPr>
      </w:pPr>
    </w:p>
    <w:p w14:paraId="4A6C1A46" w14:textId="77777777" w:rsidR="00A67775" w:rsidRDefault="00A67775" w:rsidP="009C3B4B">
      <w:pPr>
        <w:jc w:val="both"/>
        <w:rPr>
          <w:sz w:val="20"/>
          <w:szCs w:val="20"/>
        </w:rPr>
      </w:pPr>
    </w:p>
    <w:p w14:paraId="3038DC27" w14:textId="77777777" w:rsidR="00A67775" w:rsidRDefault="00A67775" w:rsidP="009C3B4B">
      <w:pPr>
        <w:jc w:val="both"/>
        <w:rPr>
          <w:sz w:val="20"/>
          <w:szCs w:val="20"/>
        </w:rPr>
      </w:pPr>
    </w:p>
    <w:p w14:paraId="10628D27" w14:textId="77777777" w:rsidR="00A67775" w:rsidRDefault="00A67775" w:rsidP="009C3B4B">
      <w:pPr>
        <w:jc w:val="both"/>
        <w:rPr>
          <w:sz w:val="20"/>
          <w:szCs w:val="20"/>
        </w:rPr>
      </w:pPr>
    </w:p>
    <w:p w14:paraId="2FCDC17F" w14:textId="77777777" w:rsidR="00A67775" w:rsidRDefault="00A67775" w:rsidP="009C3B4B">
      <w:pPr>
        <w:jc w:val="both"/>
        <w:rPr>
          <w:sz w:val="20"/>
          <w:szCs w:val="20"/>
        </w:rPr>
      </w:pPr>
    </w:p>
    <w:p w14:paraId="0385050D" w14:textId="77777777" w:rsidR="00A67775" w:rsidRDefault="00A67775" w:rsidP="009C3B4B">
      <w:pPr>
        <w:jc w:val="both"/>
        <w:rPr>
          <w:sz w:val="20"/>
          <w:szCs w:val="20"/>
        </w:rPr>
      </w:pPr>
    </w:p>
    <w:p w14:paraId="211F6405" w14:textId="77777777" w:rsidR="00A67775" w:rsidRDefault="00A67775" w:rsidP="009C3B4B">
      <w:pPr>
        <w:jc w:val="both"/>
        <w:rPr>
          <w:sz w:val="20"/>
          <w:szCs w:val="20"/>
        </w:rPr>
      </w:pPr>
    </w:p>
    <w:p w14:paraId="4C4CD24E" w14:textId="77777777" w:rsidR="00A67775" w:rsidRDefault="00A67775" w:rsidP="009C3B4B">
      <w:pPr>
        <w:jc w:val="both"/>
        <w:rPr>
          <w:sz w:val="20"/>
          <w:szCs w:val="20"/>
        </w:rPr>
      </w:pPr>
    </w:p>
    <w:p w14:paraId="3A2CE6E8" w14:textId="77777777" w:rsidR="00A67775" w:rsidRDefault="00A67775" w:rsidP="009C3B4B">
      <w:pPr>
        <w:jc w:val="both"/>
        <w:rPr>
          <w:sz w:val="20"/>
          <w:szCs w:val="20"/>
        </w:rPr>
      </w:pPr>
    </w:p>
    <w:p w14:paraId="67A333B0" w14:textId="77777777" w:rsidR="00A67775" w:rsidRDefault="00A67775" w:rsidP="009C3B4B">
      <w:pPr>
        <w:jc w:val="both"/>
        <w:rPr>
          <w:sz w:val="20"/>
          <w:szCs w:val="20"/>
        </w:rPr>
      </w:pPr>
    </w:p>
    <w:p w14:paraId="7B02C5DE" w14:textId="77777777" w:rsidR="00A67775" w:rsidRDefault="00A67775" w:rsidP="009C3B4B">
      <w:pPr>
        <w:jc w:val="both"/>
        <w:rPr>
          <w:sz w:val="20"/>
          <w:szCs w:val="20"/>
        </w:rPr>
      </w:pPr>
    </w:p>
    <w:p w14:paraId="7CA34D63" w14:textId="77777777" w:rsidR="00A67775" w:rsidRDefault="00A67775" w:rsidP="009C3B4B">
      <w:pPr>
        <w:rPr>
          <w:szCs w:val="20"/>
        </w:rPr>
      </w:pPr>
    </w:p>
    <w:p w14:paraId="59110DD4" w14:textId="1E82B056" w:rsidR="00FC065C" w:rsidRPr="00736152" w:rsidRDefault="00A67775" w:rsidP="0025257F">
      <w:pPr>
        <w:jc w:val="both"/>
      </w:pPr>
      <w:r>
        <w:t xml:space="preserve">V současné době je v nabídce brněnských novostaveb téměř pět set volných bytů. Jejich průměrná cena vzrostla za poslední rok o více než </w:t>
      </w:r>
      <w:r w:rsidR="00736152">
        <w:t xml:space="preserve">devět </w:t>
      </w:r>
      <w:r>
        <w:t>procent a dosahuje tak nyní částky 82 500 korun</w:t>
      </w:r>
      <w:r w:rsidR="00D6795F">
        <w:t xml:space="preserve"> za metr čtvereční</w:t>
      </w:r>
      <w:r>
        <w:t>. Výrazně se tak změnilo i složení cenových segmentů dostupných bytů. Zatímco v roce 2017 se většina bytů</w:t>
      </w:r>
      <w:r w:rsidR="00FA4A0C">
        <w:t xml:space="preserve"> p</w:t>
      </w:r>
      <w:r>
        <w:t>ohybovala v rozmezí 50 až 70 tisíc korun za me</w:t>
      </w:r>
      <w:r w:rsidR="00175421">
        <w:t>tr, na počátku roku 2020 je cena</w:t>
      </w:r>
      <w:r>
        <w:t xml:space="preserve"> většiny dostupných bytů mezi 70 a 90 tisíci za</w:t>
      </w:r>
      <w:r w:rsidR="00FA4A0C">
        <w:t xml:space="preserve"> metr.</w:t>
      </w:r>
      <w:r w:rsidR="00175421">
        <w:t xml:space="preserve"> </w:t>
      </w:r>
      <w:r w:rsidR="00D6795F">
        <w:t>Nové vlastní</w:t>
      </w:r>
      <w:r>
        <w:t xml:space="preserve"> bydlení </w:t>
      </w:r>
      <w:r w:rsidR="00175421">
        <w:t xml:space="preserve">se tak pro mladé rodiny v Brně </w:t>
      </w:r>
      <w:r w:rsidR="00AB5412">
        <w:t xml:space="preserve">stále častěji </w:t>
      </w:r>
      <w:r>
        <w:t xml:space="preserve">stává nedosažitelným cílem. </w:t>
      </w:r>
      <w:r w:rsidRPr="00C97C6E">
        <w:rPr>
          <w:i/>
        </w:rPr>
        <w:t>„Do budoucna se přiblížíme západnímu standardu a bude vz</w:t>
      </w:r>
      <w:r>
        <w:rPr>
          <w:i/>
        </w:rPr>
        <w:t>růstat podíl nájemního bydlení. M</w:t>
      </w:r>
      <w:r w:rsidRPr="00C97C6E">
        <w:rPr>
          <w:i/>
        </w:rPr>
        <w:t xml:space="preserve">ezi kupujícími </w:t>
      </w:r>
      <w:r>
        <w:rPr>
          <w:i/>
        </w:rPr>
        <w:t xml:space="preserve">totiž </w:t>
      </w:r>
      <w:r w:rsidRPr="00C97C6E">
        <w:rPr>
          <w:i/>
        </w:rPr>
        <w:t>roste počet investor</w:t>
      </w:r>
      <w:r>
        <w:rPr>
          <w:i/>
        </w:rPr>
        <w:t xml:space="preserve">ů. V zásadě to ale není problém, pouze bude </w:t>
      </w:r>
      <w:r>
        <w:rPr>
          <w:i/>
        </w:rPr>
        <w:lastRenderedPageBreak/>
        <w:t xml:space="preserve">potřeba tomuto trendu </w:t>
      </w:r>
      <w:r w:rsidRPr="00D52039">
        <w:rPr>
          <w:i/>
        </w:rPr>
        <w:t>přivyknout</w:t>
      </w:r>
      <w:r>
        <w:rPr>
          <w:i/>
        </w:rPr>
        <w:t>. J</w:t>
      </w:r>
      <w:r w:rsidRPr="00D52039">
        <w:rPr>
          <w:i/>
        </w:rPr>
        <w:t>ako národ jsme totiž výjimečně fixovaní na vlastnické typy bydlení</w:t>
      </w:r>
      <w:r>
        <w:rPr>
          <w:i/>
        </w:rPr>
        <w:t xml:space="preserve">,“ </w:t>
      </w:r>
      <w:r w:rsidR="00736152" w:rsidRPr="004636E0">
        <w:t xml:space="preserve">říká </w:t>
      </w:r>
      <w:r w:rsidR="00175421" w:rsidRPr="004636E0">
        <w:t>Alexej Veselý.</w:t>
      </w:r>
    </w:p>
    <w:p w14:paraId="32EC5597" w14:textId="7E4C6E08" w:rsidR="00FC065C" w:rsidRPr="00FC065C" w:rsidRDefault="00FC065C" w:rsidP="0025257F">
      <w:pPr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613E218" wp14:editId="7A1786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00725" cy="2333625"/>
            <wp:effectExtent l="0" t="0" r="9525" b="9525"/>
            <wp:wrapSquare wrapText="bothSides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5C26C-C2BA-457A-9403-31DDD745AD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1513C" w14:textId="24A4A44B" w:rsidR="00A67775" w:rsidRPr="00FC065C" w:rsidRDefault="00A67775" w:rsidP="0025257F">
      <w:pPr>
        <w:jc w:val="both"/>
        <w:rPr>
          <w:szCs w:val="20"/>
        </w:rPr>
      </w:pPr>
      <w:r>
        <w:t xml:space="preserve">Garsonky se aktuálně nabízí v průměru za 3,2 </w:t>
      </w:r>
      <w:r w:rsidR="00617A3A">
        <w:t xml:space="preserve">milionu </w:t>
      </w:r>
      <w:r>
        <w:t xml:space="preserve">korun. Zájemci o dvoupokojový byt zaplatí 4,5 milionu a byt se třemi pokoji vyjde na 6,6 </w:t>
      </w:r>
      <w:r w:rsidR="00617A3A">
        <w:t xml:space="preserve">milionu </w:t>
      </w:r>
      <w:r>
        <w:t xml:space="preserve">korun. Mezi nejoblíbenější lokality patřilo v loňském roce Brno-střed, dále městské části Bystrc, Královo </w:t>
      </w:r>
      <w:r w:rsidR="00617A3A">
        <w:t>P</w:t>
      </w:r>
      <w:r>
        <w:t>ole, Židenice a Brno-sever. Při rozhodování o lokalitě klade nejvíce zájemců důraz na dostupnost městské dopravy a na občanskou vybavenost v okolí.</w:t>
      </w:r>
    </w:p>
    <w:tbl>
      <w:tblPr>
        <w:tblpPr w:leftFromText="141" w:rightFromText="141" w:vertAnchor="page" w:horzAnchor="margin" w:tblpXSpec="center" w:tblpY="796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638"/>
        <w:gridCol w:w="1896"/>
        <w:gridCol w:w="1559"/>
        <w:gridCol w:w="2127"/>
      </w:tblGrid>
      <w:tr w:rsidR="004636E0" w14:paraId="3395354F" w14:textId="77777777" w:rsidTr="004636E0">
        <w:trPr>
          <w:trHeight w:val="404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16A9D314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Dispozice</w:t>
            </w:r>
          </w:p>
        </w:tc>
        <w:tc>
          <w:tcPr>
            <w:tcW w:w="1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C1374B8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s DPH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1717123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Velikost bytu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80E31B1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za m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  <w:vertAlign w:val="superscript"/>
              </w:rPr>
              <w:t>2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 s DPH</w:t>
            </w:r>
            <w:r w:rsidRPr="00742106">
              <w:rPr>
                <w:rStyle w:val="Znakapoznpodarou"/>
                <w:rFonts w:ascii="Arial" w:eastAsia="Calibri" w:hAnsi="Arial" w:cs="Arial"/>
                <w:b/>
                <w:bCs/>
                <w:iCs/>
                <w:color w:val="FFFFFF"/>
              </w:rPr>
              <w:footnoteReference w:id="1"/>
            </w:r>
          </w:p>
        </w:tc>
      </w:tr>
      <w:tr w:rsidR="004636E0" w14:paraId="2E2C7FEB" w14:textId="77777777" w:rsidTr="004636E0">
        <w:trPr>
          <w:trHeight w:val="26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E2AE1A6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1+kk</w:t>
            </w:r>
          </w:p>
        </w:tc>
        <w:tc>
          <w:tcPr>
            <w:tcW w:w="1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4E1FA839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3 200 000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F85638E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39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B49180D" w14:textId="77777777" w:rsidR="004636E0" w:rsidRPr="0026057F" w:rsidRDefault="004636E0" w:rsidP="004636E0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 xml:space="preserve">81 150 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Kč</w:t>
            </w:r>
          </w:p>
        </w:tc>
      </w:tr>
      <w:tr w:rsidR="004636E0" w14:paraId="5D5183E1" w14:textId="77777777" w:rsidTr="004636E0">
        <w:trPr>
          <w:trHeight w:val="288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C342200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2+kk</w:t>
            </w:r>
          </w:p>
        </w:tc>
        <w:tc>
          <w:tcPr>
            <w:tcW w:w="1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7094CB6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4 550 000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3AD0E5EB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56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B112F53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80 600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4636E0" w14:paraId="0930E756" w14:textId="77777777" w:rsidTr="004636E0">
        <w:trPr>
          <w:trHeight w:val="322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1B3D2AFA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3+kk</w:t>
            </w:r>
          </w:p>
        </w:tc>
        <w:tc>
          <w:tcPr>
            <w:tcW w:w="1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4A6834D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6 600 000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307E994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81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198ACFA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82 000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4636E0" w14:paraId="6E8C4B64" w14:textId="77777777" w:rsidTr="004636E0">
        <w:trPr>
          <w:trHeight w:val="328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3427931A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4+kk a více</w:t>
            </w:r>
          </w:p>
        </w:tc>
        <w:tc>
          <w:tcPr>
            <w:tcW w:w="18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D432382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10 800 000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3B634FA" w14:textId="77777777" w:rsidR="004636E0" w:rsidRPr="0026057F" w:rsidRDefault="004636E0" w:rsidP="004636E0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107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01B3350" w14:textId="77777777" w:rsidR="004636E0" w:rsidRPr="00742106" w:rsidRDefault="004636E0" w:rsidP="004636E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101 000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</w:tbl>
    <w:p w14:paraId="2669FE04" w14:textId="77777777" w:rsidR="0025257F" w:rsidRDefault="0025257F" w:rsidP="009C3B4B">
      <w:pPr>
        <w:rPr>
          <w:szCs w:val="20"/>
        </w:rPr>
      </w:pPr>
    </w:p>
    <w:p w14:paraId="6CBD7D78" w14:textId="77777777" w:rsidR="00617A3A" w:rsidRDefault="00617A3A" w:rsidP="00FC065C">
      <w:pPr>
        <w:spacing w:before="120"/>
        <w:jc w:val="both"/>
      </w:pPr>
    </w:p>
    <w:p w14:paraId="3C8360E6" w14:textId="77777777" w:rsidR="00617A3A" w:rsidRDefault="00617A3A" w:rsidP="00FC065C">
      <w:pPr>
        <w:spacing w:before="120"/>
        <w:jc w:val="both"/>
      </w:pPr>
    </w:p>
    <w:p w14:paraId="17293E95" w14:textId="77777777" w:rsidR="00617A3A" w:rsidRDefault="00617A3A" w:rsidP="00FC065C">
      <w:pPr>
        <w:spacing w:before="120"/>
        <w:jc w:val="both"/>
      </w:pPr>
    </w:p>
    <w:p w14:paraId="2452AA9B" w14:textId="77777777" w:rsidR="00617A3A" w:rsidRDefault="00617A3A" w:rsidP="00FC065C">
      <w:pPr>
        <w:spacing w:before="120"/>
        <w:jc w:val="both"/>
      </w:pPr>
    </w:p>
    <w:p w14:paraId="69D4F864" w14:textId="32479025" w:rsidR="00A67775" w:rsidRDefault="00A67775" w:rsidP="00FC065C">
      <w:pPr>
        <w:spacing w:before="120"/>
        <w:jc w:val="both"/>
      </w:pPr>
      <w:r>
        <w:t xml:space="preserve">Snížení cen nemovitostí se neočekává ani v následujících měsících. Zdražují totiž i stavební materiály a celé odvětví se potýká s nedostatkem pracovních sil. Jak uvádí Metrostav, výrobci betonových materiálů meziročně </w:t>
      </w:r>
      <w:r w:rsidR="00617A3A">
        <w:t xml:space="preserve">zdražili </w:t>
      </w:r>
      <w:r>
        <w:t>o 5 až 30 procent. Ceny zdiva se podle společnosti Skanska zvýšily o 12 až 20 procent.</w:t>
      </w:r>
    </w:p>
    <w:p w14:paraId="150BA36F" w14:textId="77777777" w:rsidR="00B50C00" w:rsidRPr="00FC065C" w:rsidRDefault="00B50C00" w:rsidP="0025257F">
      <w:pPr>
        <w:jc w:val="both"/>
        <w:rPr>
          <w:sz w:val="20"/>
        </w:rPr>
      </w:pPr>
    </w:p>
    <w:p w14:paraId="2A4A0A7E" w14:textId="7E71A8D7" w:rsidR="00A67775" w:rsidRDefault="00A67775" w:rsidP="0025257F">
      <w:pPr>
        <w:jc w:val="both"/>
      </w:pPr>
      <w:r>
        <w:t>Naději na snížení cen nemovitostí v Brně však přináš</w:t>
      </w:r>
      <w:r w:rsidR="00617A3A">
        <w:t>ej</w:t>
      </w:r>
      <w:r>
        <w:t>í změny územního plánu. Kancelář architekta města Brna totiž chystá k zástavbě uvolnit několik nevyužívaných průmyslových oblastí jako například areály v Slatině, v Maloměřicích nebo Obřanech. I samotné město připravuje řadu lokalit pro vlastní výstavbu bydlení, čítající několik stovek nových městských bytů. Ani změny v územním plánu však nemusí přinést změnu</w:t>
      </w:r>
      <w:r w:rsidR="00D6795F">
        <w:t xml:space="preserve"> cen</w:t>
      </w:r>
      <w:r>
        <w:t>, poněvadž stavební firmy hlásí 94</w:t>
      </w:r>
      <w:r w:rsidR="00617A3A">
        <w:t xml:space="preserve">procentní </w:t>
      </w:r>
      <w:r>
        <w:t xml:space="preserve">vytíženost. Může se tedy poměrně snadno stát, že nové rezidenční projekty na uvolněných plochách nebude mít kdo stavět. </w:t>
      </w:r>
    </w:p>
    <w:p w14:paraId="1267B2EF" w14:textId="77777777" w:rsidR="00617A3A" w:rsidRPr="004636E0" w:rsidRDefault="00617A3A" w:rsidP="00A76F2E">
      <w:pPr>
        <w:rPr>
          <w:szCs w:val="16"/>
        </w:rPr>
      </w:pPr>
    </w:p>
    <w:p w14:paraId="3D2E85CD" w14:textId="77777777" w:rsidR="001E2E64" w:rsidRPr="00FC065C" w:rsidRDefault="001D0F7B" w:rsidP="00A76F2E">
      <w:pPr>
        <w:rPr>
          <w:sz w:val="16"/>
          <w:szCs w:val="16"/>
        </w:rPr>
      </w:pPr>
      <w:r w:rsidRPr="00FC065C">
        <w:rPr>
          <w:sz w:val="16"/>
          <w:szCs w:val="16"/>
        </w:rPr>
        <w:lastRenderedPageBreak/>
        <w:t>***</w:t>
      </w:r>
    </w:p>
    <w:p w14:paraId="3CCFCF62" w14:textId="77777777" w:rsidR="00C06E67" w:rsidRPr="00FC065C" w:rsidRDefault="001D0F7B" w:rsidP="001D0F7B">
      <w:pPr>
        <w:pStyle w:val="Hlavicka"/>
        <w:rPr>
          <w:color w:val="3B3838" w:themeColor="background2" w:themeShade="40"/>
          <w:sz w:val="18"/>
          <w:szCs w:val="16"/>
        </w:rPr>
      </w:pPr>
      <w:r w:rsidRPr="00FC065C">
        <w:rPr>
          <w:color w:val="3B3838" w:themeColor="background2" w:themeShade="40"/>
          <w:sz w:val="18"/>
          <w:szCs w:val="16"/>
        </w:rPr>
        <w:t xml:space="preserve">Autor analýzy: František Šudřich, </w:t>
      </w:r>
      <w:r w:rsidR="002D0752" w:rsidRPr="00FC065C">
        <w:rPr>
          <w:color w:val="3B3838" w:themeColor="background2" w:themeShade="40"/>
          <w:sz w:val="18"/>
          <w:szCs w:val="16"/>
        </w:rPr>
        <w:t>obchodní</w:t>
      </w:r>
      <w:r w:rsidRPr="00FC065C">
        <w:rPr>
          <w:color w:val="3B3838" w:themeColor="background2" w:themeShade="40"/>
          <w:sz w:val="18"/>
          <w:szCs w:val="16"/>
        </w:rPr>
        <w:t xml:space="preserve"> ředitel společnosti </w:t>
      </w:r>
      <w:proofErr w:type="spellStart"/>
      <w:r w:rsidRPr="00FC065C">
        <w:rPr>
          <w:color w:val="3B3838" w:themeColor="background2" w:themeShade="40"/>
          <w:sz w:val="18"/>
          <w:szCs w:val="16"/>
        </w:rPr>
        <w:t>Trikaya</w:t>
      </w:r>
      <w:proofErr w:type="spellEnd"/>
    </w:p>
    <w:p w14:paraId="0B53A823" w14:textId="77777777" w:rsidR="00C06E67" w:rsidRPr="00FC065C" w:rsidRDefault="001D0F7B" w:rsidP="00C06E67">
      <w:pPr>
        <w:rPr>
          <w:rFonts w:asciiTheme="majorHAnsi" w:hAnsiTheme="majorHAnsi" w:cstheme="majorHAnsi"/>
          <w:sz w:val="18"/>
          <w:szCs w:val="16"/>
        </w:rPr>
      </w:pPr>
      <w:r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Kontakt pro média: Petra Filsaková</w:t>
      </w:r>
      <w:r w:rsidR="006C71BE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,</w:t>
      </w:r>
      <w:r w:rsidR="006C71BE" w:rsidRPr="00FC065C">
        <w:rPr>
          <w:rFonts w:asciiTheme="majorHAnsi" w:hAnsiTheme="majorHAnsi" w:cstheme="majorHAnsi"/>
          <w:sz w:val="18"/>
          <w:szCs w:val="16"/>
        </w:rPr>
        <w:t xml:space="preserve"> </w:t>
      </w:r>
      <w:proofErr w:type="spellStart"/>
      <w:r w:rsidR="006C71BE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Ewing</w:t>
      </w:r>
      <w:proofErr w:type="spellEnd"/>
      <w:r w:rsidR="006C71BE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 PR;</w:t>
      </w:r>
      <w:r w:rsidR="006C71BE" w:rsidRPr="00FC065C">
        <w:rPr>
          <w:rFonts w:asciiTheme="majorHAnsi" w:hAnsiTheme="majorHAnsi" w:cstheme="majorHAnsi"/>
          <w:sz w:val="18"/>
          <w:szCs w:val="16"/>
        </w:rPr>
        <w:t xml:space="preserve"> </w:t>
      </w:r>
      <w:hyperlink r:id="rId11" w:history="1">
        <w:r w:rsidR="006C71BE" w:rsidRPr="00FC065C">
          <w:rPr>
            <w:rStyle w:val="Hypertextovodkaz"/>
            <w:rFonts w:asciiTheme="majorHAnsi" w:hAnsiTheme="majorHAnsi" w:cstheme="majorHAnsi"/>
            <w:sz w:val="18"/>
            <w:szCs w:val="16"/>
          </w:rPr>
          <w:t>filsakova@ewingpr.cz</w:t>
        </w:r>
      </w:hyperlink>
      <w:r w:rsidR="006C71BE" w:rsidRPr="00FC065C">
        <w:rPr>
          <w:rFonts w:asciiTheme="majorHAnsi" w:hAnsiTheme="majorHAnsi" w:cstheme="majorHAnsi"/>
          <w:sz w:val="18"/>
          <w:szCs w:val="16"/>
        </w:rPr>
        <w:t xml:space="preserve">; </w:t>
      </w:r>
      <w:r w:rsidR="006C71BE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tel.: </w:t>
      </w:r>
      <w:r w:rsidR="00B06ABF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+420 </w:t>
      </w:r>
      <w:r w:rsidR="006C71BE" w:rsidRPr="00FC065C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721 959 962</w:t>
      </w:r>
    </w:p>
    <w:sectPr w:rsidR="00C06E67" w:rsidRPr="00FC065C" w:rsidSect="00FC065C">
      <w:headerReference w:type="default" r:id="rId12"/>
      <w:footerReference w:type="default" r:id="rId13"/>
      <w:pgSz w:w="11906" w:h="16838" w:code="9"/>
      <w:pgMar w:top="2410" w:right="1418" w:bottom="1701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5F1C6" w14:textId="77777777" w:rsidR="008F4212" w:rsidRDefault="008F4212" w:rsidP="00FF7F2C">
      <w:pPr>
        <w:spacing w:line="240" w:lineRule="auto"/>
      </w:pPr>
      <w:r>
        <w:separator/>
      </w:r>
    </w:p>
  </w:endnote>
  <w:endnote w:type="continuationSeparator" w:id="0">
    <w:p w14:paraId="661F6D31" w14:textId="77777777" w:rsidR="008F4212" w:rsidRDefault="008F4212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167E2" w14:textId="77777777" w:rsidR="00FF7F2C" w:rsidRPr="00BC6A3E" w:rsidRDefault="00BC6A3E" w:rsidP="00BC6A3E">
    <w:pPr>
      <w:pStyle w:val="Zpat"/>
    </w:pPr>
    <w:proofErr w:type="spellStart"/>
    <w:r w:rsidRPr="00BC6A3E">
      <w:t>Tri</w:t>
    </w:r>
    <w:r w:rsidR="00C06E67">
      <w:t>kaya</w:t>
    </w:r>
    <w:proofErr w:type="spellEnd"/>
    <w:r w:rsidR="00C06E67">
      <w:t xml:space="preserve"> Project Management a.s., Př</w:t>
    </w:r>
    <w:r w:rsidRPr="00BC6A3E">
      <w:t>íkop 4, Brno 602 00, info@trikaya.cz, www.trikaya.cz</w:t>
    </w:r>
  </w:p>
  <w:p w14:paraId="3D0B0BCA" w14:textId="77777777" w:rsidR="009E2C21" w:rsidRPr="00BC6A3E" w:rsidRDefault="009E2C21">
    <w:pPr>
      <w:pStyle w:val="Zpat"/>
      <w:rPr>
        <w:sz w:val="36"/>
      </w:rPr>
    </w:pPr>
  </w:p>
  <w:p w14:paraId="6BD01F91" w14:textId="5EEF293C" w:rsidR="009E2C21" w:rsidRDefault="009E2C2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4636E0">
      <w:rPr>
        <w:noProof/>
      </w:rPr>
      <w:t>2</w:t>
    </w:r>
    <w:r>
      <w:fldChar w:fldCharType="end"/>
    </w:r>
    <w:r>
      <w:t>/</w:t>
    </w:r>
    <w:r w:rsidR="002B1D7D">
      <w:rPr>
        <w:noProof/>
      </w:rPr>
      <w:fldChar w:fldCharType="begin"/>
    </w:r>
    <w:r w:rsidR="002B1D7D">
      <w:rPr>
        <w:noProof/>
      </w:rPr>
      <w:instrText xml:space="preserve"> NUMPAGES   \* MERGEFORMAT </w:instrText>
    </w:r>
    <w:r w:rsidR="002B1D7D">
      <w:rPr>
        <w:noProof/>
      </w:rPr>
      <w:fldChar w:fldCharType="separate"/>
    </w:r>
    <w:r w:rsidR="004636E0">
      <w:rPr>
        <w:noProof/>
      </w:rPr>
      <w:t>3</w:t>
    </w:r>
    <w:r w:rsidR="002B1D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2BC8" w14:textId="77777777" w:rsidR="008F4212" w:rsidRDefault="008F4212" w:rsidP="00FF7F2C">
      <w:pPr>
        <w:spacing w:line="240" w:lineRule="auto"/>
      </w:pPr>
      <w:r>
        <w:separator/>
      </w:r>
    </w:p>
  </w:footnote>
  <w:footnote w:type="continuationSeparator" w:id="0">
    <w:p w14:paraId="6F622404" w14:textId="77777777" w:rsidR="008F4212" w:rsidRDefault="008F4212" w:rsidP="00FF7F2C">
      <w:pPr>
        <w:spacing w:line="240" w:lineRule="auto"/>
      </w:pPr>
      <w:r>
        <w:continuationSeparator/>
      </w:r>
    </w:p>
  </w:footnote>
  <w:footnote w:id="1">
    <w:p w14:paraId="17353889" w14:textId="77777777" w:rsidR="004636E0" w:rsidRDefault="004636E0" w:rsidP="004636E0">
      <w:pPr>
        <w:pStyle w:val="Textpoznpodarou"/>
      </w:pPr>
      <w:r w:rsidRPr="00FA4A0C">
        <w:rPr>
          <w:rStyle w:val="Znakapoznpodarou"/>
          <w:sz w:val="18"/>
        </w:rPr>
        <w:footnoteRef/>
      </w:r>
      <w:r w:rsidRPr="00FA4A0C">
        <w:rPr>
          <w:sz w:val="18"/>
        </w:rPr>
        <w:t xml:space="preserve"> Počítána jako dostupná cena bytu s DPH dělena podlahovou plochou uváděnou developerem (nejčastěji celková podlahová plocha dle NOZ)</w:t>
      </w:r>
      <w:r>
        <w:rPr>
          <w:noProof/>
          <w:sz w:val="18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42D2" w14:textId="77777777" w:rsidR="00FF7F2C" w:rsidRDefault="006B4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5932FE5D" wp14:editId="14550EE1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5B"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851"/>
    <w:multiLevelType w:val="hybridMultilevel"/>
    <w:tmpl w:val="DEA85ECA"/>
    <w:lvl w:ilvl="0" w:tplc="942C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B"/>
    <w:rsid w:val="000078B3"/>
    <w:rsid w:val="00021CBD"/>
    <w:rsid w:val="0003539B"/>
    <w:rsid w:val="00036606"/>
    <w:rsid w:val="00037A99"/>
    <w:rsid w:val="00041778"/>
    <w:rsid w:val="00041A23"/>
    <w:rsid w:val="000420BC"/>
    <w:rsid w:val="00050987"/>
    <w:rsid w:val="0007056D"/>
    <w:rsid w:val="0007575C"/>
    <w:rsid w:val="00081DA9"/>
    <w:rsid w:val="000A5F8D"/>
    <w:rsid w:val="000A61A3"/>
    <w:rsid w:val="000B27A8"/>
    <w:rsid w:val="000D0156"/>
    <w:rsid w:val="000D097B"/>
    <w:rsid w:val="000D0BF9"/>
    <w:rsid w:val="000D43D4"/>
    <w:rsid w:val="000E255C"/>
    <w:rsid w:val="000F4EF4"/>
    <w:rsid w:val="00107470"/>
    <w:rsid w:val="00120116"/>
    <w:rsid w:val="00126CBB"/>
    <w:rsid w:val="00130AE1"/>
    <w:rsid w:val="0016117A"/>
    <w:rsid w:val="0017396E"/>
    <w:rsid w:val="00175421"/>
    <w:rsid w:val="00177B18"/>
    <w:rsid w:val="001A2A37"/>
    <w:rsid w:val="001B45F5"/>
    <w:rsid w:val="001B4FAE"/>
    <w:rsid w:val="001B7A11"/>
    <w:rsid w:val="001C7552"/>
    <w:rsid w:val="001D0F7B"/>
    <w:rsid w:val="001D121C"/>
    <w:rsid w:val="001D7E7B"/>
    <w:rsid w:val="001E15C1"/>
    <w:rsid w:val="001E2E64"/>
    <w:rsid w:val="001E65E7"/>
    <w:rsid w:val="0020102B"/>
    <w:rsid w:val="0020359F"/>
    <w:rsid w:val="00213531"/>
    <w:rsid w:val="00231E20"/>
    <w:rsid w:val="0023314F"/>
    <w:rsid w:val="0023724D"/>
    <w:rsid w:val="00250265"/>
    <w:rsid w:val="0025257F"/>
    <w:rsid w:val="00255DD4"/>
    <w:rsid w:val="00263851"/>
    <w:rsid w:val="00266702"/>
    <w:rsid w:val="00272280"/>
    <w:rsid w:val="002769B3"/>
    <w:rsid w:val="00284095"/>
    <w:rsid w:val="002B1D7D"/>
    <w:rsid w:val="002C44CE"/>
    <w:rsid w:val="002D0752"/>
    <w:rsid w:val="002D5693"/>
    <w:rsid w:val="002D6433"/>
    <w:rsid w:val="002E4797"/>
    <w:rsid w:val="002E5977"/>
    <w:rsid w:val="00301459"/>
    <w:rsid w:val="00307F11"/>
    <w:rsid w:val="00317634"/>
    <w:rsid w:val="00326DBC"/>
    <w:rsid w:val="00327168"/>
    <w:rsid w:val="00352D6E"/>
    <w:rsid w:val="0035620D"/>
    <w:rsid w:val="003642E8"/>
    <w:rsid w:val="003739B9"/>
    <w:rsid w:val="00386F66"/>
    <w:rsid w:val="0038704B"/>
    <w:rsid w:val="00390B71"/>
    <w:rsid w:val="003A241F"/>
    <w:rsid w:val="003A3022"/>
    <w:rsid w:val="003B0DDC"/>
    <w:rsid w:val="003B41EB"/>
    <w:rsid w:val="003D104D"/>
    <w:rsid w:val="003D4CFE"/>
    <w:rsid w:val="003D704E"/>
    <w:rsid w:val="003E28C6"/>
    <w:rsid w:val="00402270"/>
    <w:rsid w:val="00405B29"/>
    <w:rsid w:val="004161D9"/>
    <w:rsid w:val="004175AE"/>
    <w:rsid w:val="0042199B"/>
    <w:rsid w:val="0043156D"/>
    <w:rsid w:val="00433A02"/>
    <w:rsid w:val="00440BD5"/>
    <w:rsid w:val="004437E8"/>
    <w:rsid w:val="004636E0"/>
    <w:rsid w:val="00465AB6"/>
    <w:rsid w:val="004779D1"/>
    <w:rsid w:val="004A3F47"/>
    <w:rsid w:val="004A5E96"/>
    <w:rsid w:val="004A681C"/>
    <w:rsid w:val="004A787F"/>
    <w:rsid w:val="004B7C43"/>
    <w:rsid w:val="004C02D6"/>
    <w:rsid w:val="005043C5"/>
    <w:rsid w:val="00517ED3"/>
    <w:rsid w:val="00520898"/>
    <w:rsid w:val="005260E7"/>
    <w:rsid w:val="00530391"/>
    <w:rsid w:val="005330A4"/>
    <w:rsid w:val="005560AD"/>
    <w:rsid w:val="00572C2B"/>
    <w:rsid w:val="00582B8A"/>
    <w:rsid w:val="0058307E"/>
    <w:rsid w:val="00584A9A"/>
    <w:rsid w:val="0059074C"/>
    <w:rsid w:val="00591C22"/>
    <w:rsid w:val="005A3D98"/>
    <w:rsid w:val="005B3AB0"/>
    <w:rsid w:val="005B416B"/>
    <w:rsid w:val="005C089E"/>
    <w:rsid w:val="005C4432"/>
    <w:rsid w:val="005C6F0D"/>
    <w:rsid w:val="006007F3"/>
    <w:rsid w:val="00604036"/>
    <w:rsid w:val="0061626D"/>
    <w:rsid w:val="00617A3A"/>
    <w:rsid w:val="00620A1F"/>
    <w:rsid w:val="00625845"/>
    <w:rsid w:val="006308BE"/>
    <w:rsid w:val="00644C9C"/>
    <w:rsid w:val="00652C77"/>
    <w:rsid w:val="00653E5D"/>
    <w:rsid w:val="006668F2"/>
    <w:rsid w:val="00666DFF"/>
    <w:rsid w:val="0067009B"/>
    <w:rsid w:val="00681AA3"/>
    <w:rsid w:val="0069165B"/>
    <w:rsid w:val="00691697"/>
    <w:rsid w:val="006B48FF"/>
    <w:rsid w:val="006C71BE"/>
    <w:rsid w:val="006D01F2"/>
    <w:rsid w:val="00700A41"/>
    <w:rsid w:val="0070658E"/>
    <w:rsid w:val="00723C8D"/>
    <w:rsid w:val="00736152"/>
    <w:rsid w:val="00750305"/>
    <w:rsid w:val="00751112"/>
    <w:rsid w:val="00753973"/>
    <w:rsid w:val="0075699A"/>
    <w:rsid w:val="0077386A"/>
    <w:rsid w:val="007741CE"/>
    <w:rsid w:val="007854F3"/>
    <w:rsid w:val="007957F7"/>
    <w:rsid w:val="007A17AB"/>
    <w:rsid w:val="007B74A7"/>
    <w:rsid w:val="007D602A"/>
    <w:rsid w:val="007E1825"/>
    <w:rsid w:val="0082626A"/>
    <w:rsid w:val="00836300"/>
    <w:rsid w:val="00842864"/>
    <w:rsid w:val="008537D0"/>
    <w:rsid w:val="00860F52"/>
    <w:rsid w:val="00880D08"/>
    <w:rsid w:val="00895354"/>
    <w:rsid w:val="00897007"/>
    <w:rsid w:val="008B1832"/>
    <w:rsid w:val="008B3E12"/>
    <w:rsid w:val="008B5483"/>
    <w:rsid w:val="008B5965"/>
    <w:rsid w:val="008C77E1"/>
    <w:rsid w:val="008E23D8"/>
    <w:rsid w:val="008F0273"/>
    <w:rsid w:val="008F4212"/>
    <w:rsid w:val="008F6B77"/>
    <w:rsid w:val="008F6E75"/>
    <w:rsid w:val="00903108"/>
    <w:rsid w:val="00904773"/>
    <w:rsid w:val="00906F4C"/>
    <w:rsid w:val="00917B81"/>
    <w:rsid w:val="00922FB7"/>
    <w:rsid w:val="0096275A"/>
    <w:rsid w:val="00990FBB"/>
    <w:rsid w:val="009957A9"/>
    <w:rsid w:val="009A3E52"/>
    <w:rsid w:val="009C3B4B"/>
    <w:rsid w:val="009D310B"/>
    <w:rsid w:val="009E2C21"/>
    <w:rsid w:val="00A13903"/>
    <w:rsid w:val="00A16760"/>
    <w:rsid w:val="00A277AF"/>
    <w:rsid w:val="00A4288D"/>
    <w:rsid w:val="00A45A10"/>
    <w:rsid w:val="00A472CC"/>
    <w:rsid w:val="00A5025F"/>
    <w:rsid w:val="00A53E5B"/>
    <w:rsid w:val="00A54E7E"/>
    <w:rsid w:val="00A67775"/>
    <w:rsid w:val="00A76F2E"/>
    <w:rsid w:val="00A833AA"/>
    <w:rsid w:val="00A83BF0"/>
    <w:rsid w:val="00A9517C"/>
    <w:rsid w:val="00A95460"/>
    <w:rsid w:val="00AA4160"/>
    <w:rsid w:val="00AB419B"/>
    <w:rsid w:val="00AB51F5"/>
    <w:rsid w:val="00AB5412"/>
    <w:rsid w:val="00AC4301"/>
    <w:rsid w:val="00AD75A7"/>
    <w:rsid w:val="00AF20CB"/>
    <w:rsid w:val="00AF7266"/>
    <w:rsid w:val="00B01849"/>
    <w:rsid w:val="00B06ABF"/>
    <w:rsid w:val="00B10EF5"/>
    <w:rsid w:val="00B50C00"/>
    <w:rsid w:val="00B52B34"/>
    <w:rsid w:val="00B64098"/>
    <w:rsid w:val="00B807BA"/>
    <w:rsid w:val="00BA3C90"/>
    <w:rsid w:val="00BA5E51"/>
    <w:rsid w:val="00BC6A3E"/>
    <w:rsid w:val="00BC7199"/>
    <w:rsid w:val="00BD3FBB"/>
    <w:rsid w:val="00BE6905"/>
    <w:rsid w:val="00C01294"/>
    <w:rsid w:val="00C06E67"/>
    <w:rsid w:val="00C12851"/>
    <w:rsid w:val="00C1687B"/>
    <w:rsid w:val="00C21F01"/>
    <w:rsid w:val="00C25058"/>
    <w:rsid w:val="00C3031C"/>
    <w:rsid w:val="00C30B7B"/>
    <w:rsid w:val="00C456C5"/>
    <w:rsid w:val="00C5761D"/>
    <w:rsid w:val="00C60050"/>
    <w:rsid w:val="00C637FA"/>
    <w:rsid w:val="00C702E3"/>
    <w:rsid w:val="00C75C0D"/>
    <w:rsid w:val="00C819CD"/>
    <w:rsid w:val="00C84893"/>
    <w:rsid w:val="00CB5D37"/>
    <w:rsid w:val="00CC2511"/>
    <w:rsid w:val="00CC35E2"/>
    <w:rsid w:val="00CD09BB"/>
    <w:rsid w:val="00CD1B2E"/>
    <w:rsid w:val="00CD2946"/>
    <w:rsid w:val="00CE0C8A"/>
    <w:rsid w:val="00CE5F61"/>
    <w:rsid w:val="00CF255F"/>
    <w:rsid w:val="00CF2CD3"/>
    <w:rsid w:val="00D1400F"/>
    <w:rsid w:val="00D17D0C"/>
    <w:rsid w:val="00D6795F"/>
    <w:rsid w:val="00D75B18"/>
    <w:rsid w:val="00D84306"/>
    <w:rsid w:val="00DC14F3"/>
    <w:rsid w:val="00DD1D86"/>
    <w:rsid w:val="00DE4D13"/>
    <w:rsid w:val="00DF0BF9"/>
    <w:rsid w:val="00DF23FD"/>
    <w:rsid w:val="00E06FEC"/>
    <w:rsid w:val="00E16528"/>
    <w:rsid w:val="00E1689B"/>
    <w:rsid w:val="00E23A42"/>
    <w:rsid w:val="00E33A39"/>
    <w:rsid w:val="00E359B1"/>
    <w:rsid w:val="00E40E6C"/>
    <w:rsid w:val="00E57058"/>
    <w:rsid w:val="00E62395"/>
    <w:rsid w:val="00E65303"/>
    <w:rsid w:val="00E7617E"/>
    <w:rsid w:val="00E845D5"/>
    <w:rsid w:val="00E8758F"/>
    <w:rsid w:val="00E96598"/>
    <w:rsid w:val="00EB4539"/>
    <w:rsid w:val="00EF15D2"/>
    <w:rsid w:val="00EF7774"/>
    <w:rsid w:val="00EF7CCA"/>
    <w:rsid w:val="00F23EDB"/>
    <w:rsid w:val="00F24AE7"/>
    <w:rsid w:val="00F2739B"/>
    <w:rsid w:val="00F32F67"/>
    <w:rsid w:val="00F54EAA"/>
    <w:rsid w:val="00F55123"/>
    <w:rsid w:val="00F65218"/>
    <w:rsid w:val="00F75F2E"/>
    <w:rsid w:val="00F769F5"/>
    <w:rsid w:val="00F76F4B"/>
    <w:rsid w:val="00FA181D"/>
    <w:rsid w:val="00FA4A0C"/>
    <w:rsid w:val="00FC065C"/>
    <w:rsid w:val="00FC136A"/>
    <w:rsid w:val="00FD5F2A"/>
    <w:rsid w:val="00FE2A9E"/>
    <w:rsid w:val="00FE7ADC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A89E7"/>
  <w15:chartTrackingRefBased/>
  <w15:docId w15:val="{045B36FC-FD2B-48EE-BD98-3557D86A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71BE"/>
    <w:rPr>
      <w:color w:val="1D569B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D2946"/>
    <w:pPr>
      <w:spacing w:before="12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294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CD29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3B4B"/>
    <w:pPr>
      <w:spacing w:after="160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6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F66"/>
    <w:rPr>
      <w:b/>
      <w:bCs/>
      <w:sz w:val="20"/>
      <w:szCs w:val="20"/>
    </w:rPr>
  </w:style>
  <w:style w:type="paragraph" w:styleId="Bezmezer">
    <w:name w:val="No Spacing"/>
    <w:uiPriority w:val="1"/>
    <w:qFormat/>
    <w:rsid w:val="00B10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sakova@ewingp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sakova\Desktop\&#353;ablona_T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8_03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cenových segmentů nových dostupných bytů</a:t>
            </a:r>
          </a:p>
        </c:rich>
      </c:tx>
      <c:layout>
        <c:manualLayout>
          <c:xMode val="edge"/>
          <c:yMode val="edge"/>
          <c:x val="0.15581003763418461"/>
          <c:y val="4.6957880264966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&lt; 50 tis. Kč / m2</c:v>
                </c:pt>
              </c:strCache>
            </c:strRef>
          </c:tx>
          <c:spPr>
            <a:solidFill>
              <a:srgbClr val="FAC6C6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3F-40DF-AFB8-37C93FE0D8D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54F-4904-A26B-224B98179AE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4F-4904-A26B-224B98179AE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54F-4904-A26B-224B98179A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17"/>
                <c:pt idx="0">
                  <c:v>Q4 2019</c:v>
                </c:pt>
                <c:pt idx="1">
                  <c:v>Q3 2019</c:v>
                </c:pt>
                <c:pt idx="2">
                  <c:v>Q2 2019</c:v>
                </c:pt>
                <c:pt idx="3">
                  <c:v>Q1 2019</c:v>
                </c:pt>
                <c:pt idx="4">
                  <c:v>Q4 2018</c:v>
                </c:pt>
                <c:pt idx="5">
                  <c:v>Q3 2018</c:v>
                </c:pt>
                <c:pt idx="6">
                  <c:v>Q2 2018</c:v>
                </c:pt>
                <c:pt idx="7">
                  <c:v>Q1 2018</c:v>
                </c:pt>
                <c:pt idx="8">
                  <c:v>Q4 2017</c:v>
                </c:pt>
                <c:pt idx="9">
                  <c:v>Q3 2017</c:v>
                </c:pt>
                <c:pt idx="10">
                  <c:v>Q2 2017</c:v>
                </c:pt>
                <c:pt idx="11">
                  <c:v>Q1 2017</c:v>
                </c:pt>
                <c:pt idx="12">
                  <c:v>Q4 2016</c:v>
                </c:pt>
                <c:pt idx="13">
                  <c:v>Q3 2016</c:v>
                </c:pt>
                <c:pt idx="14">
                  <c:v>Q2 2016</c:v>
                </c:pt>
                <c:pt idx="15">
                  <c:v>Q1 2016</c:v>
                </c:pt>
                <c:pt idx="16">
                  <c:v>Q4 2015</c:v>
                </c:pt>
              </c:strCache>
            </c:strRef>
          </c:cat>
          <c:val>
            <c:numRef>
              <c:f>List1!$B$2:$B$18</c:f>
              <c:numCache>
                <c:formatCode>0%</c:formatCode>
                <c:ptCount val="17"/>
                <c:pt idx="0">
                  <c:v>0.01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2.5999999999999999E-2</c:v>
                </c:pt>
                <c:pt idx="5">
                  <c:v>0.02</c:v>
                </c:pt>
                <c:pt idx="6">
                  <c:v>0.02</c:v>
                </c:pt>
                <c:pt idx="7">
                  <c:v>3.3000000000000002E-2</c:v>
                </c:pt>
                <c:pt idx="8">
                  <c:v>4.2000000000000003E-2</c:v>
                </c:pt>
                <c:pt idx="9">
                  <c:v>8.5000000000000006E-2</c:v>
                </c:pt>
                <c:pt idx="10">
                  <c:v>0.13500000000000001</c:v>
                </c:pt>
                <c:pt idx="11">
                  <c:v>0.23200000000000001</c:v>
                </c:pt>
                <c:pt idx="12">
                  <c:v>0.158</c:v>
                </c:pt>
                <c:pt idx="13">
                  <c:v>0.32</c:v>
                </c:pt>
                <c:pt idx="14">
                  <c:v>0.317</c:v>
                </c:pt>
                <c:pt idx="15">
                  <c:v>0.41</c:v>
                </c:pt>
                <c:pt idx="16">
                  <c:v>0.44400000000000001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3F-40DF-AFB8-37C93FE0D8D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50 - 70 tis Kč / m2</c:v>
                </c:pt>
              </c:strCache>
            </c:strRef>
          </c:tx>
          <c:spPr>
            <a:solidFill>
              <a:srgbClr val="F58F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17"/>
                <c:pt idx="0">
                  <c:v>Q4 2019</c:v>
                </c:pt>
                <c:pt idx="1">
                  <c:v>Q3 2019</c:v>
                </c:pt>
                <c:pt idx="2">
                  <c:v>Q2 2019</c:v>
                </c:pt>
                <c:pt idx="3">
                  <c:v>Q1 2019</c:v>
                </c:pt>
                <c:pt idx="4">
                  <c:v>Q4 2018</c:v>
                </c:pt>
                <c:pt idx="5">
                  <c:v>Q3 2018</c:v>
                </c:pt>
                <c:pt idx="6">
                  <c:v>Q2 2018</c:v>
                </c:pt>
                <c:pt idx="7">
                  <c:v>Q1 2018</c:v>
                </c:pt>
                <c:pt idx="8">
                  <c:v>Q4 2017</c:v>
                </c:pt>
                <c:pt idx="9">
                  <c:v>Q3 2017</c:v>
                </c:pt>
                <c:pt idx="10">
                  <c:v>Q2 2017</c:v>
                </c:pt>
                <c:pt idx="11">
                  <c:v>Q1 2017</c:v>
                </c:pt>
                <c:pt idx="12">
                  <c:v>Q4 2016</c:v>
                </c:pt>
                <c:pt idx="13">
                  <c:v>Q3 2016</c:v>
                </c:pt>
                <c:pt idx="14">
                  <c:v>Q2 2016</c:v>
                </c:pt>
                <c:pt idx="15">
                  <c:v>Q1 2016</c:v>
                </c:pt>
                <c:pt idx="16">
                  <c:v>Q4 2015</c:v>
                </c:pt>
              </c:strCache>
            </c:strRef>
          </c:cat>
          <c:val>
            <c:numRef>
              <c:f>List1!$C$2:$C$18</c:f>
              <c:numCache>
                <c:formatCode>0%</c:formatCode>
                <c:ptCount val="17"/>
                <c:pt idx="0">
                  <c:v>0.25</c:v>
                </c:pt>
                <c:pt idx="1">
                  <c:v>0.3</c:v>
                </c:pt>
                <c:pt idx="2">
                  <c:v>0.3</c:v>
                </c:pt>
                <c:pt idx="3">
                  <c:v>0.39</c:v>
                </c:pt>
                <c:pt idx="4">
                  <c:v>0.49199999999999999</c:v>
                </c:pt>
                <c:pt idx="5">
                  <c:v>0.54</c:v>
                </c:pt>
                <c:pt idx="6">
                  <c:v>0.61</c:v>
                </c:pt>
                <c:pt idx="7">
                  <c:v>0.60499999999999998</c:v>
                </c:pt>
                <c:pt idx="8">
                  <c:v>0.623</c:v>
                </c:pt>
                <c:pt idx="9">
                  <c:v>0.66700000000000004</c:v>
                </c:pt>
                <c:pt idx="10">
                  <c:v>0.63500000000000001</c:v>
                </c:pt>
                <c:pt idx="11">
                  <c:v>0.58699999999999997</c:v>
                </c:pt>
                <c:pt idx="12">
                  <c:v>0.6</c:v>
                </c:pt>
                <c:pt idx="13">
                  <c:v>0.58099999999999996</c:v>
                </c:pt>
                <c:pt idx="14">
                  <c:v>0.6</c:v>
                </c:pt>
                <c:pt idx="15">
                  <c:v>0.52700000000000002</c:v>
                </c:pt>
                <c:pt idx="16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3F-40DF-AFB8-37C93FE0D8D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70 - 90 tis Kč / m2</c:v>
                </c:pt>
              </c:strCache>
            </c:strRef>
          </c:tx>
          <c:spPr>
            <a:solidFill>
              <a:srgbClr val="F05E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17"/>
                <c:pt idx="0">
                  <c:v>Q4 2019</c:v>
                </c:pt>
                <c:pt idx="1">
                  <c:v>Q3 2019</c:v>
                </c:pt>
                <c:pt idx="2">
                  <c:v>Q2 2019</c:v>
                </c:pt>
                <c:pt idx="3">
                  <c:v>Q1 2019</c:v>
                </c:pt>
                <c:pt idx="4">
                  <c:v>Q4 2018</c:v>
                </c:pt>
                <c:pt idx="5">
                  <c:v>Q3 2018</c:v>
                </c:pt>
                <c:pt idx="6">
                  <c:v>Q2 2018</c:v>
                </c:pt>
                <c:pt idx="7">
                  <c:v>Q1 2018</c:v>
                </c:pt>
                <c:pt idx="8">
                  <c:v>Q4 2017</c:v>
                </c:pt>
                <c:pt idx="9">
                  <c:v>Q3 2017</c:v>
                </c:pt>
                <c:pt idx="10">
                  <c:v>Q2 2017</c:v>
                </c:pt>
                <c:pt idx="11">
                  <c:v>Q1 2017</c:v>
                </c:pt>
                <c:pt idx="12">
                  <c:v>Q4 2016</c:v>
                </c:pt>
                <c:pt idx="13">
                  <c:v>Q3 2016</c:v>
                </c:pt>
                <c:pt idx="14">
                  <c:v>Q2 2016</c:v>
                </c:pt>
                <c:pt idx="15">
                  <c:v>Q1 2016</c:v>
                </c:pt>
                <c:pt idx="16">
                  <c:v>Q4 2015</c:v>
                </c:pt>
              </c:strCache>
            </c:strRef>
          </c:cat>
          <c:val>
            <c:numRef>
              <c:f>List1!$D$2:$D$18</c:f>
              <c:numCache>
                <c:formatCode>0%</c:formatCode>
                <c:ptCount val="17"/>
                <c:pt idx="0">
                  <c:v>0.6</c:v>
                </c:pt>
                <c:pt idx="1">
                  <c:v>0.56000000000000005</c:v>
                </c:pt>
                <c:pt idx="2">
                  <c:v>0.55000000000000004</c:v>
                </c:pt>
                <c:pt idx="3">
                  <c:v>0.47</c:v>
                </c:pt>
                <c:pt idx="4">
                  <c:v>0.36499999999999999</c:v>
                </c:pt>
                <c:pt idx="5">
                  <c:v>0.33</c:v>
                </c:pt>
                <c:pt idx="6">
                  <c:v>0.28000000000000003</c:v>
                </c:pt>
                <c:pt idx="7">
                  <c:v>0.28000000000000003</c:v>
                </c:pt>
                <c:pt idx="8">
                  <c:v>0.23</c:v>
                </c:pt>
                <c:pt idx="9">
                  <c:v>0.23</c:v>
                </c:pt>
                <c:pt idx="10">
                  <c:v>0.22</c:v>
                </c:pt>
                <c:pt idx="11">
                  <c:v>0.17</c:v>
                </c:pt>
                <c:pt idx="12">
                  <c:v>0.18</c:v>
                </c:pt>
                <c:pt idx="13">
                  <c:v>0.09</c:v>
                </c:pt>
                <c:pt idx="14">
                  <c:v>7.0000000000000007E-2</c:v>
                </c:pt>
                <c:pt idx="15">
                  <c:v>6.3E-2</c:v>
                </c:pt>
                <c:pt idx="16">
                  <c:v>5.6000000000000001E-2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83F-40DF-AFB8-37C93FE0D8D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&gt; 90 tis Kč / m2</c:v>
                </c:pt>
              </c:strCache>
            </c:strRef>
          </c:tx>
          <c:spPr>
            <a:solidFill>
              <a:srgbClr val="B82E2E"/>
            </a:solidFill>
            <a:ln>
              <a:noFill/>
            </a:ln>
            <a:effectLst/>
          </c:spPr>
          <c:invertIfNegative val="0"/>
          <c:dLbls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54F-4904-A26B-224B98179AE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83F-40DF-AFB8-37C93FE0D8D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83F-40DF-AFB8-37C93FE0D8D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83F-40DF-AFB8-37C93FE0D8DB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83F-40DF-AFB8-37C93FE0D8DB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54F-4904-A26B-224B98179AE1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54F-4904-A26B-224B98179AE1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54F-4904-A26B-224B98179A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17"/>
                <c:pt idx="0">
                  <c:v>Q4 2019</c:v>
                </c:pt>
                <c:pt idx="1">
                  <c:v>Q3 2019</c:v>
                </c:pt>
                <c:pt idx="2">
                  <c:v>Q2 2019</c:v>
                </c:pt>
                <c:pt idx="3">
                  <c:v>Q1 2019</c:v>
                </c:pt>
                <c:pt idx="4">
                  <c:v>Q4 2018</c:v>
                </c:pt>
                <c:pt idx="5">
                  <c:v>Q3 2018</c:v>
                </c:pt>
                <c:pt idx="6">
                  <c:v>Q2 2018</c:v>
                </c:pt>
                <c:pt idx="7">
                  <c:v>Q1 2018</c:v>
                </c:pt>
                <c:pt idx="8">
                  <c:v>Q4 2017</c:v>
                </c:pt>
                <c:pt idx="9">
                  <c:v>Q3 2017</c:v>
                </c:pt>
                <c:pt idx="10">
                  <c:v>Q2 2017</c:v>
                </c:pt>
                <c:pt idx="11">
                  <c:v>Q1 2017</c:v>
                </c:pt>
                <c:pt idx="12">
                  <c:v>Q4 2016</c:v>
                </c:pt>
                <c:pt idx="13">
                  <c:v>Q3 2016</c:v>
                </c:pt>
                <c:pt idx="14">
                  <c:v>Q2 2016</c:v>
                </c:pt>
                <c:pt idx="15">
                  <c:v>Q1 2016</c:v>
                </c:pt>
                <c:pt idx="16">
                  <c:v>Q4 2015</c:v>
                </c:pt>
              </c:strCache>
            </c:strRef>
          </c:cat>
          <c:val>
            <c:numRef>
              <c:f>List1!$E$2:$E$18</c:f>
              <c:numCache>
                <c:formatCode>0%</c:formatCode>
                <c:ptCount val="17"/>
                <c:pt idx="0">
                  <c:v>0.14000000000000001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0.12</c:v>
                </c:pt>
                <c:pt idx="4">
                  <c:v>0.11700000000000001</c:v>
                </c:pt>
                <c:pt idx="5">
                  <c:v>0.11</c:v>
                </c:pt>
                <c:pt idx="6">
                  <c:v>0.09</c:v>
                </c:pt>
                <c:pt idx="7">
                  <c:v>0.08</c:v>
                </c:pt>
                <c:pt idx="8">
                  <c:v>0.1</c:v>
                </c:pt>
                <c:pt idx="9">
                  <c:v>0.02</c:v>
                </c:pt>
                <c:pt idx="10">
                  <c:v>0.01</c:v>
                </c:pt>
                <c:pt idx="11">
                  <c:v>0.01</c:v>
                </c:pt>
                <c:pt idx="12">
                  <c:v>0.06</c:v>
                </c:pt>
                <c:pt idx="13">
                  <c:v>0.01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D83F-40DF-AFB8-37C93FE0D8D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0144008"/>
        <c:axId val="140144400"/>
      </c:barChart>
      <c:catAx>
        <c:axId val="14014400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0144400"/>
        <c:crossesAt val="0"/>
        <c:auto val="1"/>
        <c:lblAlgn val="ctr"/>
        <c:lblOffset val="100"/>
        <c:noMultiLvlLbl val="0"/>
      </c:catAx>
      <c:valAx>
        <c:axId val="14014440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0144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3DF4A62-9265-4B42-94C0-9B94F2EC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šablona_TZ</Template>
  <TotalTime>62</TotalTime>
  <Pages>3</Pages>
  <Words>847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11</cp:revision>
  <cp:lastPrinted>2019-01-21T07:55:00Z</cp:lastPrinted>
  <dcterms:created xsi:type="dcterms:W3CDTF">2020-01-21T11:14:00Z</dcterms:created>
  <dcterms:modified xsi:type="dcterms:W3CDTF">2020-01-22T08:47:00Z</dcterms:modified>
</cp:coreProperties>
</file>